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ascii="宋体"/>
          <w:sz w:val="36"/>
          <w:szCs w:val="36"/>
        </w:rPr>
      </w:pPr>
      <w:r>
        <w:rPr>
          <w:rFonts w:hint="eastAsia" w:ascii="宋体" w:hAnsi="宋体"/>
          <w:sz w:val="36"/>
          <w:szCs w:val="36"/>
        </w:rPr>
        <w:t>天津轻工职业技术学院</w:t>
      </w:r>
      <w:r>
        <w:rPr>
          <w:rFonts w:ascii="宋体" w:hAnsi="宋体"/>
          <w:sz w:val="36"/>
          <w:szCs w:val="36"/>
        </w:rPr>
        <w:t>20</w:t>
      </w:r>
      <w:r>
        <w:rPr>
          <w:rFonts w:hint="eastAsia" w:ascii="宋体" w:hAnsi="宋体"/>
          <w:sz w:val="36"/>
          <w:szCs w:val="36"/>
          <w:lang w:val="en-US" w:eastAsia="zh-CN"/>
        </w:rPr>
        <w:t>24</w:t>
      </w:r>
      <w:r>
        <w:rPr>
          <w:rFonts w:hint="eastAsia" w:ascii="宋体" w:hAnsi="宋体"/>
          <w:sz w:val="36"/>
          <w:szCs w:val="36"/>
        </w:rPr>
        <w:t>年</w:t>
      </w:r>
      <w:r>
        <w:rPr>
          <w:rFonts w:hint="eastAsia" w:ascii="宋体" w:hAnsi="宋体"/>
          <w:sz w:val="36"/>
          <w:szCs w:val="36"/>
          <w:lang w:eastAsia="zh-CN"/>
        </w:rPr>
        <w:t>高职分类</w:t>
      </w:r>
      <w:r>
        <w:rPr>
          <w:rFonts w:hint="eastAsia" w:ascii="宋体" w:hAnsi="宋体"/>
          <w:sz w:val="36"/>
          <w:szCs w:val="36"/>
        </w:rPr>
        <w:t>考试</w:t>
      </w:r>
    </w:p>
    <w:p>
      <w:pPr>
        <w:pStyle w:val="3"/>
        <w:spacing w:line="360" w:lineRule="auto"/>
        <w:jc w:val="center"/>
        <w:rPr>
          <w:rFonts w:ascii="宋体"/>
          <w:sz w:val="36"/>
          <w:szCs w:val="36"/>
        </w:rPr>
      </w:pPr>
      <w:r>
        <w:rPr>
          <w:rFonts w:hint="eastAsia" w:ascii="宋体" w:hAnsi="宋体"/>
          <w:sz w:val="36"/>
          <w:szCs w:val="36"/>
        </w:rPr>
        <w:t>招收中职毕业生招生章程</w:t>
      </w:r>
    </w:p>
    <w:p>
      <w:pPr>
        <w:spacing w:line="440" w:lineRule="exact"/>
        <w:jc w:val="both"/>
        <w:rPr>
          <w:rFonts w:hint="eastAsia" w:ascii="宋体" w:hAnsi="宋体" w:eastAsia="宋体" w:cs="Times New Roman"/>
          <w:b/>
          <w:szCs w:val="21"/>
        </w:rPr>
      </w:pPr>
      <w:r>
        <w:rPr>
          <w:rFonts w:hint="eastAsia" w:ascii="宋体" w:hAnsi="宋体"/>
          <w:b/>
          <w:szCs w:val="21"/>
        </w:rPr>
        <w:t>★中国特色</w:t>
      </w:r>
      <w:r>
        <w:rPr>
          <w:rFonts w:hint="eastAsia" w:ascii="宋体" w:hAnsi="宋体" w:eastAsia="宋体" w:cs="Times New Roman"/>
          <w:b/>
          <w:szCs w:val="21"/>
        </w:rPr>
        <w:t>高水平高职学校建设单位</w:t>
      </w:r>
      <w:r>
        <w:rPr>
          <w:rFonts w:hint="eastAsia" w:ascii="宋体" w:hAnsi="宋体" w:eastAsia="宋体" w:cs="Times New Roman"/>
          <w:b/>
          <w:szCs w:val="21"/>
        </w:rPr>
        <w:tab/>
      </w:r>
      <w:r>
        <w:rPr>
          <w:rFonts w:hint="eastAsia" w:ascii="宋体" w:hAnsi="宋体" w:eastAsia="宋体" w:cs="Times New Roman"/>
          <w:b/>
          <w:szCs w:val="21"/>
        </w:rPr>
        <w:tab/>
      </w:r>
      <w:r>
        <w:rPr>
          <w:rFonts w:hint="eastAsia" w:ascii="宋体" w:hAnsi="宋体" w:eastAsia="宋体" w:cs="Times New Roman"/>
          <w:b/>
          <w:szCs w:val="21"/>
        </w:rPr>
        <w:tab/>
      </w:r>
      <w:r>
        <w:rPr>
          <w:rFonts w:hint="eastAsia" w:ascii="宋体" w:hAnsi="宋体" w:eastAsia="宋体" w:cs="Times New Roman"/>
          <w:b/>
          <w:szCs w:val="21"/>
          <w:lang w:val="en-US" w:eastAsia="zh-CN"/>
        </w:rPr>
        <w:t xml:space="preserve">       </w:t>
      </w:r>
      <w:r>
        <w:rPr>
          <w:rFonts w:hint="eastAsia" w:ascii="宋体" w:hAnsi="宋体" w:eastAsia="宋体" w:cs="Times New Roman"/>
          <w:b/>
          <w:szCs w:val="21"/>
        </w:rPr>
        <w:t>★国家级（优秀）示范性骨干校</w:t>
      </w:r>
    </w:p>
    <w:p>
      <w:pPr>
        <w:spacing w:line="440" w:lineRule="exact"/>
        <w:jc w:val="both"/>
        <w:rPr>
          <w:rFonts w:hint="eastAsia" w:ascii="宋体" w:hAnsi="宋体" w:eastAsia="宋体" w:cs="Times New Roman"/>
          <w:b/>
          <w:szCs w:val="21"/>
          <w:lang w:val="en-US" w:eastAsia="zh-CN"/>
        </w:rPr>
      </w:pPr>
      <w:r>
        <w:rPr>
          <w:rFonts w:hint="eastAsia" w:ascii="宋体" w:hAnsi="宋体" w:eastAsia="宋体" w:cs="Times New Roman"/>
          <w:b/>
          <w:szCs w:val="21"/>
        </w:rPr>
        <w:t>★鲁班工坊建设联盟副理事长单位</w:t>
      </w:r>
      <w:r>
        <w:rPr>
          <w:rFonts w:hint="eastAsia" w:ascii="宋体" w:hAnsi="宋体" w:eastAsia="宋体" w:cs="Times New Roman"/>
          <w:b/>
          <w:szCs w:val="21"/>
          <w:lang w:val="en-US" w:eastAsia="zh-CN"/>
        </w:rPr>
        <w:t xml:space="preserve">                     </w:t>
      </w:r>
      <w:r>
        <w:rPr>
          <w:rFonts w:hint="eastAsia" w:ascii="宋体" w:hAnsi="宋体" w:eastAsia="宋体" w:cs="Times New Roman"/>
          <w:b/>
          <w:szCs w:val="21"/>
        </w:rPr>
        <w:t>★</w:t>
      </w:r>
      <w:r>
        <w:rPr>
          <w:rFonts w:hint="eastAsia" w:ascii="宋体" w:hAnsi="宋体" w:eastAsia="宋体" w:cs="Times New Roman"/>
          <w:b/>
          <w:szCs w:val="21"/>
          <w:lang w:val="en-US" w:eastAsia="zh-CN"/>
        </w:rPr>
        <w:t xml:space="preserve">国家级职业教育教师教学创新团队 </w:t>
      </w:r>
    </w:p>
    <w:p>
      <w:pPr>
        <w:spacing w:line="440" w:lineRule="exact"/>
        <w:jc w:val="both"/>
        <w:rPr>
          <w:rFonts w:hint="eastAsia" w:ascii="宋体" w:hAnsi="宋体" w:eastAsia="宋体" w:cs="Times New Roman"/>
          <w:b/>
          <w:szCs w:val="21"/>
          <w:lang w:eastAsia="zh-CN"/>
        </w:rPr>
      </w:pPr>
      <w:r>
        <w:rPr>
          <w:rFonts w:hint="eastAsia" w:ascii="宋体" w:hAnsi="宋体" w:eastAsia="宋体" w:cs="Times New Roman"/>
          <w:b/>
          <w:szCs w:val="21"/>
        </w:rPr>
        <w:t>★全国职业院校就业竞争力示范校</w:t>
      </w:r>
      <w:r>
        <w:rPr>
          <w:rFonts w:hint="eastAsia" w:ascii="宋体" w:hAnsi="宋体" w:eastAsia="宋体" w:cs="Times New Roman"/>
          <w:b/>
          <w:szCs w:val="21"/>
        </w:rPr>
        <w:tab/>
      </w:r>
      <w:r>
        <w:rPr>
          <w:rFonts w:hint="eastAsia" w:ascii="宋体" w:hAnsi="宋体" w:eastAsia="宋体" w:cs="Times New Roman"/>
          <w:b/>
          <w:szCs w:val="21"/>
        </w:rPr>
        <w:tab/>
      </w:r>
      <w:r>
        <w:rPr>
          <w:rFonts w:hint="eastAsia" w:ascii="宋体" w:hAnsi="宋体" w:eastAsia="宋体" w:cs="Times New Roman"/>
          <w:b/>
          <w:szCs w:val="21"/>
        </w:rPr>
        <w:tab/>
      </w:r>
      <w:r>
        <w:rPr>
          <w:rFonts w:hint="eastAsia" w:ascii="宋体" w:hAnsi="宋体" w:eastAsia="宋体" w:cs="Times New Roman"/>
          <w:b/>
          <w:szCs w:val="21"/>
        </w:rPr>
        <w:tab/>
      </w:r>
      <w:r>
        <w:rPr>
          <w:rFonts w:hint="eastAsia" w:ascii="宋体" w:hAnsi="宋体" w:eastAsia="宋体" w:cs="Times New Roman"/>
          <w:b/>
          <w:szCs w:val="21"/>
          <w:lang w:val="en-US" w:eastAsia="zh-CN"/>
        </w:rPr>
        <w:t xml:space="preserve">  </w:t>
      </w:r>
      <w:r>
        <w:rPr>
          <w:rFonts w:hint="eastAsia" w:ascii="宋体" w:hAnsi="宋体" w:cs="Times New Roman"/>
          <w:b/>
          <w:szCs w:val="21"/>
          <w:lang w:val="en-US" w:eastAsia="zh-CN"/>
        </w:rPr>
        <w:t xml:space="preserve">    </w:t>
      </w:r>
      <w:r>
        <w:rPr>
          <w:rFonts w:hint="eastAsia" w:ascii="宋体" w:hAnsi="宋体" w:eastAsia="宋体" w:cs="Times New Roman"/>
          <w:b/>
          <w:szCs w:val="21"/>
          <w:lang w:val="en-US" w:eastAsia="zh-CN"/>
        </w:rPr>
        <w:t xml:space="preserve"> </w:t>
      </w:r>
      <w:r>
        <w:rPr>
          <w:rFonts w:hint="eastAsia" w:ascii="宋体" w:hAnsi="宋体" w:eastAsia="宋体" w:cs="Times New Roman"/>
          <w:b/>
          <w:szCs w:val="21"/>
        </w:rPr>
        <w:t>★全国高校黄大年式教师团队</w:t>
      </w:r>
    </w:p>
    <w:p>
      <w:pPr>
        <w:spacing w:line="440" w:lineRule="exact"/>
        <w:jc w:val="both"/>
        <w:rPr>
          <w:rFonts w:hint="eastAsia" w:ascii="宋体" w:hAnsi="宋体" w:eastAsia="宋体" w:cs="Times New Roman"/>
          <w:b/>
          <w:szCs w:val="21"/>
          <w:lang w:val="en-US" w:eastAsia="zh-CN"/>
        </w:rPr>
      </w:pPr>
      <w:r>
        <w:rPr>
          <w:rFonts w:hint="eastAsia" w:ascii="宋体" w:hAnsi="宋体" w:eastAsia="宋体" w:cs="Times New Roman"/>
          <w:b/>
          <w:szCs w:val="21"/>
        </w:rPr>
        <w:t>★全国高等职业院校服务贡献50强</w:t>
      </w:r>
      <w:r>
        <w:rPr>
          <w:rFonts w:hint="eastAsia" w:ascii="宋体" w:hAnsi="宋体" w:eastAsia="宋体" w:cs="Times New Roman"/>
          <w:b/>
          <w:szCs w:val="21"/>
          <w:lang w:val="en-US" w:eastAsia="zh-CN"/>
        </w:rPr>
        <w:t xml:space="preserve">                    </w:t>
      </w:r>
      <w:r>
        <w:rPr>
          <w:rFonts w:hint="eastAsia" w:ascii="宋体" w:hAnsi="宋体" w:eastAsia="宋体" w:cs="Times New Roman"/>
          <w:b/>
          <w:szCs w:val="21"/>
        </w:rPr>
        <w:t>★</w:t>
      </w:r>
      <w:r>
        <w:rPr>
          <w:rFonts w:hint="eastAsia" w:ascii="宋体" w:hAnsi="宋体" w:eastAsia="宋体" w:cs="Times New Roman"/>
          <w:b/>
          <w:szCs w:val="21"/>
          <w:lang w:eastAsia="zh-CN"/>
        </w:rPr>
        <w:t>全国第六届黄炎培职业教育奖优秀学校</w:t>
      </w:r>
      <w:r>
        <w:rPr>
          <w:rFonts w:hint="eastAsia" w:ascii="宋体" w:hAnsi="宋体" w:eastAsia="宋体" w:cs="Times New Roman"/>
          <w:b/>
          <w:szCs w:val="21"/>
          <w:lang w:val="en-US" w:eastAsia="zh-CN"/>
        </w:rPr>
        <w:t xml:space="preserve">                </w:t>
      </w:r>
    </w:p>
    <w:p>
      <w:pPr>
        <w:spacing w:line="440" w:lineRule="exact"/>
        <w:jc w:val="both"/>
        <w:rPr>
          <w:rFonts w:hint="eastAsia" w:ascii="宋体" w:hAnsi="宋体" w:eastAsia="宋体" w:cs="Times New Roman"/>
          <w:b/>
          <w:szCs w:val="21"/>
        </w:rPr>
      </w:pPr>
      <w:r>
        <w:rPr>
          <w:rFonts w:hint="eastAsia" w:ascii="宋体" w:hAnsi="宋体" w:eastAsia="宋体" w:cs="Times New Roman"/>
          <w:b/>
          <w:szCs w:val="21"/>
        </w:rPr>
        <w:t>★中国模具工业协会职业教育委员会主任委员单位</w:t>
      </w:r>
      <w:r>
        <w:rPr>
          <w:rFonts w:hint="eastAsia" w:ascii="宋体" w:hAnsi="宋体" w:eastAsia="宋体" w:cs="Times New Roman"/>
          <w:b/>
          <w:szCs w:val="21"/>
          <w:lang w:val="en-US" w:eastAsia="zh-CN"/>
        </w:rPr>
        <w:t xml:space="preserve">       </w:t>
      </w:r>
      <w:r>
        <w:rPr>
          <w:rFonts w:hint="eastAsia" w:ascii="宋体" w:hAnsi="宋体" w:eastAsia="宋体" w:cs="Times New Roman"/>
          <w:b/>
          <w:szCs w:val="21"/>
        </w:rPr>
        <w:t>★天津市职业教育先进单位</w:t>
      </w:r>
    </w:p>
    <w:p>
      <w:pPr>
        <w:spacing w:line="360" w:lineRule="auto"/>
        <w:rPr>
          <w:rFonts w:hint="eastAsia" w:ascii="宋体" w:hAnsi="宋体"/>
          <w:b/>
          <w:szCs w:val="21"/>
          <w:lang w:val="en-US" w:eastAsia="zh-CN"/>
        </w:rPr>
      </w:pPr>
      <w:r>
        <w:rPr>
          <w:rFonts w:hint="eastAsia" w:ascii="宋体" w:hAnsi="宋体"/>
          <w:b/>
          <w:szCs w:val="21"/>
          <w:lang w:val="en-US" w:eastAsia="zh-CN"/>
        </w:rPr>
        <w:t xml:space="preserve">                                            </w:t>
      </w:r>
    </w:p>
    <w:p>
      <w:pPr>
        <w:keepNext w:val="0"/>
        <w:keepLines w:val="0"/>
        <w:pageBreakBefore w:val="0"/>
        <w:kinsoku/>
        <w:wordWrap/>
        <w:overflowPunct/>
        <w:topLinePunct w:val="0"/>
        <w:autoSpaceDE/>
        <w:autoSpaceDN/>
        <w:bidi w:val="0"/>
        <w:adjustRightInd/>
        <w:spacing w:line="360" w:lineRule="auto"/>
        <w:jc w:val="center"/>
        <w:textAlignment w:val="auto"/>
        <w:rPr>
          <w:rFonts w:ascii="宋体"/>
          <w:b/>
          <w:bCs/>
          <w:sz w:val="28"/>
          <w:szCs w:val="28"/>
        </w:rPr>
      </w:pPr>
      <w:r>
        <w:rPr>
          <w:rFonts w:hint="eastAsia" w:ascii="宋体" w:hAnsi="宋体"/>
          <w:b/>
          <w:bCs/>
          <w:sz w:val="28"/>
          <w:szCs w:val="28"/>
        </w:rPr>
        <w:t>第一章　总　则</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ascii="宋体"/>
          <w:sz w:val="28"/>
          <w:szCs w:val="28"/>
        </w:rPr>
      </w:pPr>
      <w:r>
        <w:rPr>
          <w:rFonts w:hint="eastAsia" w:ascii="宋体" w:hAnsi="宋体"/>
          <w:b/>
          <w:bCs/>
          <w:sz w:val="28"/>
          <w:szCs w:val="28"/>
        </w:rPr>
        <w:t>第一条</w:t>
      </w:r>
      <w:r>
        <w:rPr>
          <w:rFonts w:hint="eastAsia" w:ascii="宋体" w:hAnsi="宋体"/>
          <w:b/>
          <w:bCs/>
          <w:sz w:val="28"/>
          <w:szCs w:val="28"/>
          <w:highlight w:val="none"/>
        </w:rPr>
        <w:t>　</w:t>
      </w:r>
      <w:r>
        <w:rPr>
          <w:rFonts w:hint="eastAsia" w:ascii="宋体" w:hAnsi="宋体"/>
          <w:sz w:val="28"/>
          <w:szCs w:val="28"/>
          <w:highlight w:val="none"/>
          <w:lang w:eastAsia="zh-CN"/>
        </w:rPr>
        <w:t>依据</w:t>
      </w:r>
      <w:r>
        <w:rPr>
          <w:rFonts w:hint="eastAsia" w:ascii="宋体" w:hAnsi="宋体"/>
          <w:sz w:val="28"/>
          <w:szCs w:val="28"/>
          <w:highlight w:val="none"/>
        </w:rPr>
        <w:t>《中</w:t>
      </w:r>
      <w:r>
        <w:rPr>
          <w:rFonts w:hint="eastAsia" w:ascii="宋体" w:hAnsi="宋体"/>
          <w:sz w:val="28"/>
          <w:szCs w:val="28"/>
        </w:rPr>
        <w:t>华人民共和国教育法》、《中华人民共和国高等教育法》和教育部、天津市有关规定，为维护学校和考生的合法权益，依法招生，结合我院招生工作实际，制订本章程。</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ascii="宋体"/>
          <w:bCs/>
          <w:sz w:val="28"/>
          <w:szCs w:val="28"/>
        </w:rPr>
      </w:pPr>
      <w:r>
        <w:rPr>
          <w:rFonts w:hint="eastAsia" w:ascii="宋体" w:hAnsi="宋体"/>
          <w:b/>
          <w:bCs/>
          <w:sz w:val="28"/>
          <w:szCs w:val="28"/>
        </w:rPr>
        <w:t>第二条</w:t>
      </w:r>
      <w:r>
        <w:rPr>
          <w:rFonts w:hint="eastAsia" w:ascii="宋体" w:hAnsi="宋体"/>
          <w:bCs/>
          <w:sz w:val="28"/>
          <w:szCs w:val="28"/>
        </w:rPr>
        <w:t>　本章程是社会了解学院有关招生政策、规定及相关信息的主要渠道，是学院开展分类考试招生咨询和录取工作的主要依据。</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ascii="宋体"/>
          <w:bCs/>
          <w:sz w:val="28"/>
          <w:szCs w:val="28"/>
        </w:rPr>
      </w:pPr>
      <w:r>
        <w:rPr>
          <w:rFonts w:hint="eastAsia" w:ascii="宋体" w:hAnsi="宋体"/>
          <w:b/>
          <w:bCs/>
          <w:sz w:val="28"/>
          <w:szCs w:val="28"/>
        </w:rPr>
        <w:t>第三条</w:t>
      </w:r>
      <w:r>
        <w:rPr>
          <w:rFonts w:hint="eastAsia" w:ascii="宋体" w:hAnsi="宋体"/>
          <w:bCs/>
          <w:sz w:val="28"/>
          <w:szCs w:val="28"/>
        </w:rPr>
        <w:t>　学院概况：</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ascii="宋体"/>
          <w:bCs/>
          <w:sz w:val="28"/>
          <w:szCs w:val="28"/>
        </w:rPr>
      </w:pPr>
      <w:r>
        <w:rPr>
          <w:rFonts w:hint="eastAsia" w:ascii="宋体" w:hAnsi="宋体"/>
          <w:bCs/>
          <w:sz w:val="28"/>
          <w:szCs w:val="28"/>
        </w:rPr>
        <w:t>（一）学院名称：天津轻工职业技术学院</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ascii="宋体"/>
          <w:bCs/>
          <w:sz w:val="28"/>
          <w:szCs w:val="28"/>
        </w:rPr>
      </w:pPr>
      <w:r>
        <w:rPr>
          <w:rFonts w:hint="eastAsia" w:ascii="宋体" w:hAnsi="宋体"/>
          <w:bCs/>
          <w:sz w:val="28"/>
          <w:szCs w:val="28"/>
        </w:rPr>
        <w:t>（二）办学类型：</w:t>
      </w:r>
      <w:r>
        <w:rPr>
          <w:rFonts w:hint="eastAsia" w:ascii="Times New Roman" w:hAnsi="Times New Roman" w:eastAsia="宋体" w:cs="Times New Roman"/>
          <w:bCs/>
          <w:sz w:val="28"/>
        </w:rPr>
        <w:t>公办全日制普通高等职业技术学校</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ascii="宋体"/>
          <w:bCs/>
          <w:sz w:val="28"/>
          <w:szCs w:val="28"/>
        </w:rPr>
      </w:pPr>
      <w:r>
        <w:rPr>
          <w:rFonts w:hint="eastAsia" w:ascii="宋体" w:hAnsi="宋体"/>
          <w:bCs/>
          <w:sz w:val="28"/>
          <w:szCs w:val="28"/>
        </w:rPr>
        <w:t>（三）办学层次：</w:t>
      </w:r>
      <w:r>
        <w:rPr>
          <w:rFonts w:hint="eastAsia"/>
          <w:bCs/>
          <w:sz w:val="28"/>
        </w:rPr>
        <w:t>高职（专科）</w:t>
      </w:r>
      <w:r>
        <w:rPr>
          <w:rFonts w:hint="eastAsia" w:ascii="宋体" w:hAnsi="宋体"/>
          <w:bCs/>
          <w:sz w:val="28"/>
          <w:szCs w:val="28"/>
        </w:rPr>
        <w:t>　学制三年</w:t>
      </w:r>
    </w:p>
    <w:p>
      <w:pPr>
        <w:keepNext w:val="0"/>
        <w:keepLines w:val="0"/>
        <w:pageBreakBefore w:val="0"/>
        <w:kinsoku/>
        <w:wordWrap/>
        <w:overflowPunct/>
        <w:topLinePunct w:val="0"/>
        <w:bidi w:val="0"/>
        <w:snapToGrid/>
        <w:spacing w:line="360" w:lineRule="auto"/>
        <w:ind w:firstLine="560" w:firstLineChars="200"/>
        <w:textAlignment w:val="auto"/>
        <w:rPr>
          <w:rFonts w:hint="eastAsia" w:ascii="宋体" w:hAnsi="宋体"/>
          <w:sz w:val="28"/>
          <w:szCs w:val="28"/>
        </w:rPr>
      </w:pPr>
      <w:r>
        <w:rPr>
          <w:rFonts w:hint="eastAsia" w:ascii="宋体" w:hAnsi="宋体"/>
          <w:sz w:val="28"/>
          <w:szCs w:val="28"/>
        </w:rPr>
        <w:t>（四）学院代码：127</w:t>
      </w:r>
      <w:r>
        <w:rPr>
          <w:rFonts w:hint="eastAsia" w:ascii="宋体" w:hAnsi="宋体"/>
          <w:sz w:val="28"/>
          <w:szCs w:val="28"/>
          <w:lang w:val="en-US" w:eastAsia="zh-CN"/>
        </w:rPr>
        <w:t>3</w:t>
      </w:r>
      <w:r>
        <w:rPr>
          <w:rFonts w:hint="eastAsia" w:ascii="宋体" w:hAnsi="宋体"/>
          <w:sz w:val="28"/>
          <w:szCs w:val="28"/>
        </w:rPr>
        <w:t>2（国标）</w:t>
      </w:r>
    </w:p>
    <w:p>
      <w:pPr>
        <w:keepNext w:val="0"/>
        <w:keepLines w:val="0"/>
        <w:pageBreakBefore w:val="0"/>
        <w:kinsoku/>
        <w:wordWrap/>
        <w:overflowPunct/>
        <w:topLinePunct w:val="0"/>
        <w:bidi w:val="0"/>
        <w:snapToGrid/>
        <w:spacing w:line="360" w:lineRule="auto"/>
        <w:ind w:firstLine="560" w:firstLineChars="200"/>
        <w:textAlignment w:val="auto"/>
        <w:rPr>
          <w:rFonts w:ascii="宋体" w:hAnsi="宋体"/>
          <w:sz w:val="28"/>
          <w:szCs w:val="28"/>
        </w:rPr>
      </w:pPr>
      <w:r>
        <w:rPr>
          <w:rFonts w:hint="eastAsia" w:ascii="宋体" w:hAnsi="宋体"/>
          <w:sz w:val="28"/>
          <w:szCs w:val="28"/>
        </w:rPr>
        <w:t>（五）学院地址：天津海河教育园区雅观路</w:t>
      </w:r>
      <w:r>
        <w:rPr>
          <w:rFonts w:ascii="宋体" w:hAnsi="宋体"/>
          <w:sz w:val="28"/>
          <w:szCs w:val="28"/>
        </w:rPr>
        <w:t>1</w:t>
      </w:r>
      <w:r>
        <w:rPr>
          <w:rFonts w:hint="eastAsia" w:ascii="宋体" w:hAnsi="宋体"/>
          <w:sz w:val="28"/>
          <w:szCs w:val="28"/>
        </w:rPr>
        <w:t>号</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Times New Roman"/>
          <w:sz w:val="28"/>
          <w:szCs w:val="28"/>
        </w:rPr>
      </w:pPr>
      <w:r>
        <w:rPr>
          <w:rFonts w:hint="eastAsia" w:ascii="宋体" w:hAnsi="宋体"/>
          <w:sz w:val="28"/>
          <w:szCs w:val="28"/>
        </w:rPr>
        <w:t>（</w:t>
      </w:r>
      <w:r>
        <w:rPr>
          <w:rFonts w:hint="eastAsia" w:ascii="宋体" w:hAnsi="宋体"/>
          <w:sz w:val="28"/>
          <w:szCs w:val="28"/>
          <w:lang w:eastAsia="zh-CN"/>
        </w:rPr>
        <w:t>六</w:t>
      </w:r>
      <w:r>
        <w:rPr>
          <w:rFonts w:hint="eastAsia" w:ascii="宋体" w:hAnsi="宋体"/>
          <w:sz w:val="28"/>
          <w:szCs w:val="28"/>
        </w:rPr>
        <w:t>）学</w:t>
      </w:r>
      <w:r>
        <w:rPr>
          <w:rFonts w:hint="eastAsia" w:ascii="宋体" w:hAnsi="宋体" w:eastAsia="宋体" w:cs="Times New Roman"/>
          <w:sz w:val="28"/>
          <w:szCs w:val="28"/>
        </w:rPr>
        <w:t>院简介：</w:t>
      </w:r>
    </w:p>
    <w:p>
      <w:pPr>
        <w:keepNext w:val="0"/>
        <w:keepLines w:val="0"/>
        <w:pageBreakBefore w:val="0"/>
        <w:kinsoku/>
        <w:wordWrap/>
        <w:overflowPunct/>
        <w:topLinePunct w:val="0"/>
        <w:autoSpaceDE/>
        <w:autoSpaceDN/>
        <w:bidi w:val="0"/>
        <w:adjustRightInd/>
        <w:spacing w:line="360" w:lineRule="auto"/>
        <w:ind w:firstLine="840" w:firstLineChars="300"/>
        <w:textAlignment w:val="auto"/>
        <w:rPr>
          <w:rFonts w:hint="eastAsia" w:ascii="宋体" w:hAnsi="宋体" w:eastAsia="宋体" w:cs="Times New Roman"/>
          <w:sz w:val="28"/>
          <w:szCs w:val="28"/>
        </w:rPr>
      </w:pPr>
      <w:r>
        <w:rPr>
          <w:rFonts w:hint="eastAsia" w:ascii="宋体" w:hAnsi="宋体" w:eastAsia="宋体" w:cs="Times New Roman"/>
          <w:sz w:val="28"/>
          <w:szCs w:val="28"/>
        </w:rPr>
        <w:t>天津轻工职业技术学院坐落于天津海河教育园区，占地面积8</w:t>
      </w:r>
      <w:r>
        <w:rPr>
          <w:rFonts w:hint="eastAsia" w:ascii="宋体" w:hAnsi="宋体" w:eastAsia="宋体" w:cs="Times New Roman"/>
          <w:sz w:val="28"/>
          <w:szCs w:val="28"/>
          <w:lang w:val="en-US" w:eastAsia="zh-CN"/>
        </w:rPr>
        <w:t>42</w:t>
      </w:r>
      <w:r>
        <w:rPr>
          <w:rFonts w:hint="eastAsia" w:ascii="宋体" w:hAnsi="宋体" w:eastAsia="宋体" w:cs="Times New Roman"/>
          <w:sz w:val="28"/>
          <w:szCs w:val="28"/>
        </w:rPr>
        <w:t>亩。</w:t>
      </w:r>
      <w:r>
        <w:rPr>
          <w:rFonts w:hint="eastAsia" w:ascii="宋体" w:hAnsi="宋体" w:eastAsia="宋体" w:cs="Times New Roman"/>
          <w:sz w:val="28"/>
          <w:szCs w:val="28"/>
          <w:lang w:eastAsia="zh-CN"/>
        </w:rPr>
        <w:t>学院</w:t>
      </w:r>
      <w:r>
        <w:rPr>
          <w:rFonts w:hint="eastAsia" w:ascii="宋体" w:hAnsi="宋体" w:eastAsia="宋体" w:cs="Times New Roman"/>
          <w:sz w:val="28"/>
          <w:szCs w:val="28"/>
        </w:rPr>
        <w:t>办学成绩显著，是中国特色高水平高职学校建设单位、国家级（优秀）示范性骨干校、全国“第六届黄炎培职业教育奖”优秀学校奖获奖单位、全国高校黄大年式教师团队</w:t>
      </w:r>
      <w:r>
        <w:rPr>
          <w:rFonts w:hint="eastAsia" w:ascii="宋体" w:hAnsi="宋体" w:eastAsia="宋体" w:cs="Times New Roman"/>
          <w:sz w:val="28"/>
          <w:szCs w:val="28"/>
          <w:lang w:eastAsia="zh-CN"/>
        </w:rPr>
        <w:t>、</w:t>
      </w:r>
      <w:r>
        <w:rPr>
          <w:rFonts w:hint="eastAsia" w:ascii="宋体" w:hAnsi="宋体" w:eastAsia="宋体" w:cs="Times New Roman"/>
          <w:sz w:val="28"/>
          <w:szCs w:val="28"/>
        </w:rPr>
        <w:t>全国职业院校就业竞争力示范校、</w:t>
      </w:r>
      <w:r>
        <w:rPr>
          <w:rFonts w:hint="eastAsia" w:ascii="宋体" w:hAnsi="宋体" w:eastAsia="宋体" w:cs="Times New Roman"/>
          <w:sz w:val="28"/>
          <w:szCs w:val="28"/>
          <w:lang w:eastAsia="zh-CN"/>
        </w:rPr>
        <w:t>国家优质专科高等职业院校、教育部现代学徒制试点院校</w:t>
      </w:r>
      <w:r>
        <w:rPr>
          <w:rFonts w:hint="eastAsia" w:ascii="宋体" w:hAnsi="宋体" w:eastAsia="宋体" w:cs="Times New Roman"/>
          <w:sz w:val="28"/>
          <w:szCs w:val="28"/>
        </w:rPr>
        <w:t>、全国高等职业院校服务贡献50强单位</w:t>
      </w:r>
      <w:r>
        <w:rPr>
          <w:rFonts w:hint="eastAsia" w:ascii="宋体" w:hAnsi="宋体" w:eastAsia="宋体" w:cs="Times New Roman"/>
          <w:sz w:val="28"/>
          <w:szCs w:val="28"/>
          <w:lang w:eastAsia="zh-CN"/>
        </w:rPr>
        <w:t>、</w:t>
      </w:r>
      <w:r>
        <w:rPr>
          <w:rFonts w:hint="eastAsia" w:ascii="宋体" w:hAnsi="宋体" w:eastAsia="宋体" w:cs="Times New Roman"/>
          <w:sz w:val="28"/>
          <w:szCs w:val="28"/>
        </w:rPr>
        <w:t>天津市职业教育先进单位、中国模具工业协会职业教育委员会主任委员单位。</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Times New Roman"/>
          <w:bCs/>
          <w:sz w:val="28"/>
          <w:szCs w:val="28"/>
        </w:rPr>
      </w:pPr>
      <w:r>
        <w:rPr>
          <w:rFonts w:hint="eastAsia" w:ascii="宋体" w:hAnsi="宋体" w:eastAsia="宋体" w:cs="Times New Roman"/>
          <w:sz w:val="28"/>
          <w:szCs w:val="28"/>
          <w:lang w:eastAsia="zh-CN"/>
        </w:rPr>
        <w:t>学院</w:t>
      </w:r>
      <w:r>
        <w:rPr>
          <w:rFonts w:hint="eastAsia" w:ascii="宋体" w:hAnsi="宋体" w:eastAsia="宋体" w:cs="Times New Roman"/>
          <w:sz w:val="28"/>
          <w:szCs w:val="28"/>
        </w:rPr>
        <w:t>设有机械工程学院、电子信息与自动化学院、经济管理学院、艺术工程学院、马克思主义学院，开设3</w:t>
      </w: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个高职专业和2个联合培养技能本科专业。现有教职工</w:t>
      </w:r>
      <w:r>
        <w:rPr>
          <w:rFonts w:hint="eastAsia" w:ascii="宋体" w:hAnsi="宋体" w:eastAsia="宋体" w:cs="Times New Roman"/>
          <w:sz w:val="28"/>
          <w:szCs w:val="28"/>
          <w:lang w:val="en-US" w:eastAsia="zh-CN"/>
        </w:rPr>
        <w:t>485</w:t>
      </w:r>
      <w:r>
        <w:rPr>
          <w:rFonts w:hint="eastAsia" w:ascii="宋体" w:hAnsi="宋体" w:eastAsia="宋体" w:cs="Times New Roman"/>
          <w:sz w:val="28"/>
          <w:szCs w:val="28"/>
        </w:rPr>
        <w:t>人，在校生1</w:t>
      </w:r>
      <w:r>
        <w:rPr>
          <w:rFonts w:hint="eastAsia" w:ascii="宋体" w:hAnsi="宋体" w:eastAsia="宋体" w:cs="Times New Roman"/>
          <w:sz w:val="28"/>
          <w:szCs w:val="28"/>
          <w:lang w:val="en-US" w:eastAsia="zh-CN"/>
        </w:rPr>
        <w:t>1</w:t>
      </w:r>
      <w:r>
        <w:rPr>
          <w:rFonts w:hint="eastAsia" w:ascii="宋体" w:hAnsi="宋体" w:eastAsia="宋体" w:cs="Times New Roman"/>
          <w:sz w:val="28"/>
          <w:szCs w:val="28"/>
        </w:rPr>
        <w:t>000余人。</w:t>
      </w:r>
      <w:r>
        <w:rPr>
          <w:rFonts w:hint="eastAsia" w:ascii="宋体" w:hAnsi="宋体" w:eastAsia="宋体" w:cs="Times New Roman"/>
          <w:sz w:val="28"/>
          <w:szCs w:val="28"/>
          <w:lang w:eastAsia="zh-CN"/>
        </w:rPr>
        <w:t>学院</w:t>
      </w:r>
      <w:r>
        <w:rPr>
          <w:rFonts w:hint="eastAsia" w:ascii="宋体" w:hAnsi="宋体" w:eastAsia="宋体" w:cs="Times New Roman"/>
          <w:sz w:val="28"/>
          <w:szCs w:val="28"/>
        </w:rPr>
        <w:t>拥有良好的教学条件</w:t>
      </w:r>
      <w:r>
        <w:rPr>
          <w:rFonts w:hint="eastAsia" w:ascii="宋体" w:hAnsi="宋体" w:eastAsia="宋体" w:cs="Times New Roman"/>
          <w:sz w:val="28"/>
          <w:szCs w:val="28"/>
          <w:lang w:eastAsia="zh-CN"/>
        </w:rPr>
        <w:t>和</w:t>
      </w:r>
      <w:r>
        <w:rPr>
          <w:rFonts w:hint="eastAsia" w:ascii="宋体" w:hAnsi="宋体" w:eastAsia="宋体" w:cs="Times New Roman"/>
          <w:sz w:val="28"/>
          <w:szCs w:val="28"/>
        </w:rPr>
        <w:t>完善的生活配套设施。</w:t>
      </w:r>
    </w:p>
    <w:p>
      <w:pPr>
        <w:keepNext w:val="0"/>
        <w:keepLines w:val="0"/>
        <w:pageBreakBefore w:val="0"/>
        <w:kinsoku/>
        <w:wordWrap/>
        <w:overflowPunct/>
        <w:topLinePunct w:val="0"/>
        <w:autoSpaceDE/>
        <w:autoSpaceDN/>
        <w:bidi w:val="0"/>
        <w:adjustRightInd/>
        <w:spacing w:line="360" w:lineRule="auto"/>
        <w:jc w:val="center"/>
        <w:textAlignment w:val="auto"/>
        <w:rPr>
          <w:rFonts w:ascii="宋体"/>
          <w:b/>
          <w:bCs/>
          <w:sz w:val="28"/>
          <w:szCs w:val="28"/>
        </w:rPr>
      </w:pPr>
      <w:r>
        <w:rPr>
          <w:rFonts w:hint="eastAsia" w:ascii="宋体" w:hAnsi="宋体"/>
          <w:b/>
          <w:bCs/>
          <w:sz w:val="28"/>
          <w:szCs w:val="28"/>
        </w:rPr>
        <w:t>第二章　招生机构</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hint="eastAsia" w:ascii="Times New Roman" w:hAnsi="Times New Roman" w:eastAsia="宋体" w:cs="Times New Roman"/>
          <w:bCs/>
          <w:sz w:val="28"/>
        </w:rPr>
      </w:pPr>
      <w:r>
        <w:rPr>
          <w:rFonts w:hint="eastAsia" w:ascii="宋体" w:hAnsi="宋体"/>
          <w:b/>
          <w:bCs/>
          <w:sz w:val="28"/>
          <w:szCs w:val="28"/>
        </w:rPr>
        <w:t>第四条</w:t>
      </w:r>
      <w:r>
        <w:rPr>
          <w:rFonts w:hint="eastAsia" w:ascii="宋体" w:hAnsi="宋体"/>
          <w:bCs/>
          <w:sz w:val="28"/>
          <w:szCs w:val="28"/>
        </w:rPr>
        <w:t>　</w:t>
      </w:r>
      <w:r>
        <w:rPr>
          <w:rFonts w:hint="eastAsia" w:ascii="Times New Roman" w:hAnsi="Times New Roman" w:eastAsia="宋体" w:cs="Times New Roman"/>
          <w:bCs/>
          <w:sz w:val="28"/>
        </w:rPr>
        <w:t>学院成立招生委员会、设有招生工作领导小组，全面负责学院的招生工作，</w:t>
      </w:r>
      <w:r>
        <w:rPr>
          <w:rFonts w:hint="eastAsia" w:ascii="宋体" w:hAnsi="宋体" w:eastAsia="宋体" w:cs="Times New Roman"/>
          <w:bCs/>
          <w:sz w:val="28"/>
          <w:szCs w:val="28"/>
        </w:rPr>
        <w:t>制定招生政策、确定招生计划和规则、决定有关招生的重大事项。</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hint="eastAsia" w:ascii="宋体" w:hAnsi="宋体"/>
          <w:bCs/>
          <w:sz w:val="28"/>
          <w:szCs w:val="28"/>
        </w:rPr>
      </w:pPr>
      <w:r>
        <w:rPr>
          <w:rFonts w:hint="eastAsia" w:ascii="宋体" w:hAnsi="宋体"/>
          <w:b/>
          <w:bCs/>
          <w:sz w:val="28"/>
          <w:szCs w:val="28"/>
        </w:rPr>
        <w:t>第五条</w:t>
      </w:r>
      <w:r>
        <w:rPr>
          <w:rFonts w:hint="eastAsia" w:ascii="宋体" w:hAnsi="宋体"/>
          <w:bCs/>
          <w:sz w:val="28"/>
          <w:szCs w:val="28"/>
        </w:rPr>
        <w:t>　学院招生工作领导小组下设招生就业指导</w:t>
      </w:r>
      <w:r>
        <w:rPr>
          <w:rFonts w:hint="eastAsia" w:ascii="宋体" w:hAnsi="宋体"/>
          <w:bCs/>
          <w:sz w:val="28"/>
          <w:szCs w:val="28"/>
          <w:lang w:eastAsia="zh-CN"/>
        </w:rPr>
        <w:t>办公室</w:t>
      </w:r>
      <w:r>
        <w:rPr>
          <w:rFonts w:hint="eastAsia" w:ascii="宋体" w:hAnsi="宋体"/>
          <w:bCs/>
          <w:sz w:val="28"/>
          <w:szCs w:val="28"/>
        </w:rPr>
        <w:t>，作为组织和实施招生工作的常设机构，负责日常工作。</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hint="eastAsia" w:ascii="Times New Roman" w:hAnsi="Times New Roman" w:eastAsia="宋体" w:cs="Times New Roman"/>
          <w:bCs/>
          <w:sz w:val="28"/>
        </w:rPr>
      </w:pPr>
      <w:r>
        <w:rPr>
          <w:rFonts w:hint="eastAsia" w:ascii="Times New Roman" w:hAnsi="Times New Roman" w:eastAsia="宋体" w:cs="Times New Roman"/>
          <w:b/>
          <w:bCs/>
          <w:sz w:val="28"/>
        </w:rPr>
        <w:t>第</w:t>
      </w:r>
      <w:r>
        <w:rPr>
          <w:rFonts w:hint="eastAsia" w:ascii="Times New Roman" w:hAnsi="Times New Roman" w:eastAsia="宋体" w:cs="Times New Roman"/>
          <w:b/>
          <w:bCs/>
          <w:sz w:val="28"/>
          <w:lang w:eastAsia="zh-CN"/>
        </w:rPr>
        <w:t>六</w:t>
      </w:r>
      <w:r>
        <w:rPr>
          <w:rFonts w:hint="eastAsia" w:ascii="Times New Roman" w:hAnsi="Times New Roman" w:eastAsia="宋体" w:cs="Times New Roman"/>
          <w:b/>
          <w:bCs/>
          <w:sz w:val="28"/>
        </w:rPr>
        <w:t>条</w:t>
      </w:r>
      <w:r>
        <w:rPr>
          <w:rFonts w:hint="eastAsia" w:ascii="Times New Roman" w:hAnsi="Times New Roman" w:eastAsia="宋体" w:cs="Times New Roman"/>
          <w:bCs/>
          <w:sz w:val="28"/>
        </w:rPr>
        <w:t>　学院</w:t>
      </w:r>
      <w:r>
        <w:rPr>
          <w:rFonts w:ascii="Times New Roman" w:hAnsi="Times New Roman" w:eastAsia="宋体" w:cs="Times New Roman"/>
          <w:bCs/>
          <w:sz w:val="28"/>
        </w:rPr>
        <w:t>招生工作在</w:t>
      </w:r>
      <w:r>
        <w:rPr>
          <w:rFonts w:hint="eastAsia" w:ascii="Times New Roman" w:hAnsi="Times New Roman" w:eastAsia="宋体" w:cs="Times New Roman"/>
          <w:bCs/>
          <w:sz w:val="28"/>
        </w:rPr>
        <w:t>学院纪律检查委员会、</w:t>
      </w:r>
      <w:r>
        <w:rPr>
          <w:rFonts w:ascii="Times New Roman" w:hAnsi="Times New Roman" w:eastAsia="宋体" w:cs="Times New Roman"/>
          <w:bCs/>
          <w:sz w:val="28"/>
        </w:rPr>
        <w:t>纪检监察室的监督下进行</w:t>
      </w:r>
      <w:r>
        <w:rPr>
          <w:rFonts w:hint="eastAsia" w:ascii="Times New Roman" w:hAnsi="Times New Roman" w:eastAsia="宋体" w:cs="Times New Roman"/>
          <w:bCs/>
          <w:sz w:val="28"/>
        </w:rPr>
        <w:t>。</w:t>
      </w:r>
    </w:p>
    <w:p>
      <w:pPr>
        <w:pStyle w:val="2"/>
        <w:keepNext w:val="0"/>
        <w:keepLines w:val="0"/>
        <w:pageBreakBefore w:val="0"/>
        <w:kinsoku/>
        <w:wordWrap/>
        <w:overflowPunct/>
        <w:topLinePunct w:val="0"/>
        <w:autoSpaceDE/>
        <w:autoSpaceDN/>
        <w:bidi w:val="0"/>
        <w:adjustRightInd/>
        <w:spacing w:line="360" w:lineRule="auto"/>
        <w:textAlignment w:val="auto"/>
      </w:pPr>
    </w:p>
    <w:p>
      <w:pPr>
        <w:keepNext w:val="0"/>
        <w:keepLines w:val="0"/>
        <w:pageBreakBefore w:val="0"/>
        <w:kinsoku/>
        <w:wordWrap/>
        <w:overflowPunct/>
        <w:topLinePunct w:val="0"/>
        <w:autoSpaceDE/>
        <w:autoSpaceDN/>
        <w:bidi w:val="0"/>
        <w:adjustRightInd/>
        <w:spacing w:line="360" w:lineRule="auto"/>
        <w:jc w:val="center"/>
        <w:textAlignment w:val="auto"/>
        <w:rPr>
          <w:rFonts w:ascii="宋体"/>
          <w:b/>
          <w:bCs/>
          <w:sz w:val="28"/>
          <w:szCs w:val="28"/>
        </w:rPr>
      </w:pPr>
      <w:r>
        <w:rPr>
          <w:rFonts w:hint="eastAsia" w:ascii="宋体" w:hAnsi="宋体"/>
          <w:b/>
          <w:bCs/>
          <w:sz w:val="28"/>
          <w:szCs w:val="28"/>
        </w:rPr>
        <w:t>第三章　招生计划及收费标准</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ascii="宋体"/>
          <w:bCs/>
          <w:sz w:val="28"/>
          <w:szCs w:val="28"/>
        </w:rPr>
      </w:pPr>
      <w:r>
        <w:rPr>
          <w:rFonts w:hint="eastAsia" w:ascii="宋体" w:hAnsi="宋体"/>
          <w:b/>
          <w:bCs/>
          <w:sz w:val="28"/>
          <w:szCs w:val="28"/>
        </w:rPr>
        <w:t>第</w:t>
      </w:r>
      <w:r>
        <w:rPr>
          <w:rFonts w:hint="eastAsia" w:ascii="宋体" w:hAnsi="宋体"/>
          <w:b/>
          <w:bCs/>
          <w:sz w:val="28"/>
          <w:szCs w:val="28"/>
          <w:lang w:eastAsia="zh-CN"/>
        </w:rPr>
        <w:t>七</w:t>
      </w:r>
      <w:r>
        <w:rPr>
          <w:rFonts w:hint="eastAsia" w:ascii="宋体" w:hAnsi="宋体"/>
          <w:b/>
          <w:bCs/>
          <w:sz w:val="28"/>
          <w:szCs w:val="28"/>
        </w:rPr>
        <w:t>条</w:t>
      </w:r>
      <w:r>
        <w:rPr>
          <w:rFonts w:hint="eastAsia" w:ascii="宋体" w:hAnsi="宋体"/>
          <w:bCs/>
          <w:sz w:val="28"/>
          <w:szCs w:val="28"/>
        </w:rPr>
        <w:t>　学院根据发展规划、办学条件、专业发展、生源状况和社会需求，制定</w:t>
      </w:r>
      <w:r>
        <w:rPr>
          <w:rFonts w:ascii="宋体" w:hAnsi="宋体"/>
          <w:bCs/>
          <w:sz w:val="28"/>
          <w:szCs w:val="28"/>
        </w:rPr>
        <w:t>202</w:t>
      </w:r>
      <w:r>
        <w:rPr>
          <w:rFonts w:hint="eastAsia" w:ascii="宋体" w:hAnsi="宋体"/>
          <w:bCs/>
          <w:sz w:val="28"/>
          <w:szCs w:val="28"/>
          <w:lang w:val="en-US" w:eastAsia="zh-CN"/>
        </w:rPr>
        <w:t>4</w:t>
      </w:r>
      <w:r>
        <w:rPr>
          <w:rFonts w:hint="eastAsia" w:ascii="宋体" w:hAnsi="宋体"/>
          <w:bCs/>
          <w:sz w:val="28"/>
          <w:szCs w:val="28"/>
        </w:rPr>
        <w:t>年</w:t>
      </w:r>
      <w:r>
        <w:rPr>
          <w:rFonts w:hint="eastAsia" w:ascii="宋体" w:hAnsi="宋体"/>
          <w:bCs/>
          <w:sz w:val="28"/>
          <w:szCs w:val="28"/>
          <w:lang w:eastAsia="zh-CN"/>
        </w:rPr>
        <w:t>高职分类</w:t>
      </w:r>
      <w:r>
        <w:rPr>
          <w:rFonts w:hint="eastAsia" w:ascii="宋体" w:hAnsi="宋体"/>
          <w:bCs/>
          <w:sz w:val="28"/>
          <w:szCs w:val="28"/>
        </w:rPr>
        <w:t>考试招收中职毕业生分专业招生计划。</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ascii="宋体"/>
          <w:bCs/>
          <w:sz w:val="28"/>
          <w:szCs w:val="28"/>
        </w:rPr>
      </w:pPr>
      <w:r>
        <w:rPr>
          <w:rFonts w:hint="eastAsia" w:ascii="宋体" w:hAnsi="宋体"/>
          <w:b/>
          <w:bCs/>
          <w:sz w:val="28"/>
          <w:szCs w:val="28"/>
        </w:rPr>
        <w:t>第</w:t>
      </w:r>
      <w:r>
        <w:rPr>
          <w:rFonts w:hint="eastAsia" w:ascii="宋体" w:hAnsi="宋体"/>
          <w:b/>
          <w:bCs/>
          <w:sz w:val="28"/>
          <w:szCs w:val="28"/>
          <w:lang w:eastAsia="zh-CN"/>
        </w:rPr>
        <w:t>八</w:t>
      </w:r>
      <w:r>
        <w:rPr>
          <w:rFonts w:hint="eastAsia" w:ascii="宋体" w:hAnsi="宋体"/>
          <w:b/>
          <w:bCs/>
          <w:sz w:val="28"/>
          <w:szCs w:val="28"/>
        </w:rPr>
        <w:t>条</w:t>
      </w:r>
      <w:r>
        <w:rPr>
          <w:rFonts w:hint="eastAsia" w:ascii="宋体" w:hAnsi="宋体"/>
          <w:bCs/>
          <w:sz w:val="28"/>
          <w:szCs w:val="28"/>
        </w:rPr>
        <w:t>　</w:t>
      </w:r>
      <w:r>
        <w:rPr>
          <w:rFonts w:hint="eastAsia" w:ascii="宋体" w:hAnsi="宋体"/>
          <w:sz w:val="28"/>
          <w:szCs w:val="28"/>
        </w:rPr>
        <w:t>收费标准：1.学费：一般专业每生每学年5000元，特殊专业每生每学年5500元，艺术类专业每生每学年8000元；2.住宿费：8人间每生每学年800元，6人间每生每学年1000元。</w:t>
      </w:r>
      <w:r>
        <w:rPr>
          <w:rFonts w:hint="eastAsia" w:ascii="宋体" w:hAnsi="宋体"/>
          <w:sz w:val="28"/>
          <w:szCs w:val="28"/>
          <w:lang w:eastAsia="zh-CN"/>
        </w:rPr>
        <w:t>以上收费标准如有变动，以天津市最新政策为准。</w:t>
      </w:r>
    </w:p>
    <w:p>
      <w:pPr>
        <w:keepNext w:val="0"/>
        <w:keepLines w:val="0"/>
        <w:pageBreakBefore w:val="0"/>
        <w:kinsoku/>
        <w:wordWrap/>
        <w:overflowPunct/>
        <w:topLinePunct w:val="0"/>
        <w:autoSpaceDE/>
        <w:autoSpaceDN/>
        <w:bidi w:val="0"/>
        <w:adjustRightInd/>
        <w:spacing w:line="360" w:lineRule="auto"/>
        <w:jc w:val="center"/>
        <w:textAlignment w:val="auto"/>
        <w:rPr>
          <w:rFonts w:ascii="宋体"/>
          <w:b/>
          <w:bCs/>
          <w:sz w:val="28"/>
          <w:szCs w:val="28"/>
        </w:rPr>
      </w:pPr>
      <w:r>
        <w:rPr>
          <w:rFonts w:hint="eastAsia" w:ascii="宋体" w:hAnsi="宋体"/>
          <w:b/>
          <w:bCs/>
          <w:sz w:val="28"/>
          <w:szCs w:val="28"/>
        </w:rPr>
        <w:t>第四章　录取规则</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ascii="宋体"/>
          <w:bCs/>
          <w:sz w:val="28"/>
          <w:szCs w:val="28"/>
        </w:rPr>
      </w:pPr>
      <w:r>
        <w:rPr>
          <w:rFonts w:hint="eastAsia" w:ascii="宋体" w:hAnsi="宋体"/>
          <w:b/>
          <w:bCs/>
          <w:sz w:val="28"/>
          <w:szCs w:val="28"/>
        </w:rPr>
        <w:t>第</w:t>
      </w:r>
      <w:r>
        <w:rPr>
          <w:rFonts w:hint="eastAsia" w:ascii="宋体" w:hAnsi="宋体"/>
          <w:b/>
          <w:bCs/>
          <w:sz w:val="28"/>
          <w:szCs w:val="28"/>
          <w:lang w:eastAsia="zh-CN"/>
        </w:rPr>
        <w:t>九</w:t>
      </w:r>
      <w:r>
        <w:rPr>
          <w:rFonts w:hint="eastAsia" w:ascii="宋体" w:hAnsi="宋体"/>
          <w:b/>
          <w:bCs/>
          <w:sz w:val="28"/>
          <w:szCs w:val="28"/>
        </w:rPr>
        <w:t>条</w:t>
      </w:r>
      <w:r>
        <w:rPr>
          <w:rFonts w:hint="eastAsia" w:ascii="宋体" w:hAnsi="宋体"/>
          <w:bCs/>
          <w:sz w:val="28"/>
          <w:szCs w:val="28"/>
        </w:rPr>
        <w:t>　学院招生录取工作遵循公平竞争、公正选拔、公开程序的原则；执行教育部、天津市招生委员会制定的录取政策以及本章程公布的有关规定；以考生填报的志愿和</w:t>
      </w:r>
      <w:r>
        <w:rPr>
          <w:rFonts w:hint="eastAsia" w:ascii="宋体" w:hAnsi="宋体"/>
          <w:bCs/>
          <w:sz w:val="28"/>
          <w:szCs w:val="28"/>
          <w:lang w:eastAsia="zh-CN"/>
        </w:rPr>
        <w:t>高职分类</w:t>
      </w:r>
      <w:r>
        <w:rPr>
          <w:rFonts w:hint="eastAsia" w:ascii="宋体" w:hAnsi="宋体"/>
          <w:bCs/>
          <w:sz w:val="28"/>
          <w:szCs w:val="28"/>
        </w:rPr>
        <w:t>考试文化基础、综合能力考试总成绩（以下简称“总成绩”）为主要录取依据，德智体美劳全面考核，综合评价择优录取。录取过程中，自觉接受天津市招生委员会、纪检监察部门、考生和社会各界的监督。</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ascii="宋体"/>
          <w:bCs/>
          <w:sz w:val="28"/>
          <w:szCs w:val="28"/>
        </w:rPr>
      </w:pPr>
      <w:r>
        <w:rPr>
          <w:rFonts w:hint="eastAsia" w:ascii="宋体" w:hAnsi="宋体"/>
          <w:b/>
          <w:bCs/>
          <w:sz w:val="28"/>
          <w:szCs w:val="28"/>
        </w:rPr>
        <w:t>第</w:t>
      </w:r>
      <w:r>
        <w:rPr>
          <w:rFonts w:hint="eastAsia" w:ascii="宋体" w:hAnsi="宋体"/>
          <w:b/>
          <w:bCs/>
          <w:sz w:val="28"/>
          <w:szCs w:val="28"/>
          <w:lang w:eastAsia="zh-CN"/>
        </w:rPr>
        <w:t>十</w:t>
      </w:r>
      <w:r>
        <w:rPr>
          <w:rFonts w:hint="eastAsia" w:ascii="宋体" w:hAnsi="宋体"/>
          <w:b/>
          <w:bCs/>
          <w:sz w:val="28"/>
          <w:szCs w:val="28"/>
        </w:rPr>
        <w:t>条</w:t>
      </w:r>
      <w:r>
        <w:rPr>
          <w:rFonts w:hint="eastAsia" w:ascii="宋体" w:hAnsi="宋体"/>
          <w:bCs/>
          <w:sz w:val="28"/>
          <w:szCs w:val="28"/>
        </w:rPr>
        <w:t>　学院对专业志愿录取以分数优先为原则，即先按</w:t>
      </w:r>
      <w:r>
        <w:rPr>
          <w:rFonts w:hint="eastAsia" w:ascii="宋体" w:hAnsi="宋体"/>
          <w:bCs/>
          <w:sz w:val="28"/>
          <w:szCs w:val="28"/>
          <w:lang w:eastAsia="zh-CN"/>
        </w:rPr>
        <w:t>高职分类</w:t>
      </w:r>
      <w:r>
        <w:rPr>
          <w:rFonts w:hint="eastAsia" w:ascii="宋体" w:hAnsi="宋体"/>
          <w:bCs/>
          <w:sz w:val="28"/>
          <w:szCs w:val="28"/>
        </w:rPr>
        <w:t>考试总成绩从高分到低分顺序排队，并从高分到低分依次按照考生填报的专业志愿顺序录取。同等条件下，优先录取高级中等教育阶段获市级三好学生或区级优秀学生干部称号的应届考生。</w:t>
      </w:r>
    </w:p>
    <w:p>
      <w:pPr>
        <w:keepNext w:val="0"/>
        <w:keepLines w:val="0"/>
        <w:pageBreakBefore w:val="0"/>
        <w:widowControl/>
        <w:kinsoku/>
        <w:wordWrap/>
        <w:overflowPunct/>
        <w:topLinePunct w:val="0"/>
        <w:autoSpaceDE/>
        <w:autoSpaceDN/>
        <w:bidi w:val="0"/>
        <w:adjustRightInd/>
        <w:spacing w:line="360" w:lineRule="auto"/>
        <w:ind w:firstLine="562" w:firstLineChars="200"/>
        <w:jc w:val="left"/>
        <w:textAlignment w:val="auto"/>
        <w:rPr>
          <w:rFonts w:hint="eastAsia" w:ascii="宋体" w:hAnsi="宋体" w:cs="Times New Roman"/>
          <w:bCs/>
          <w:sz w:val="28"/>
          <w:szCs w:val="28"/>
        </w:rPr>
      </w:pPr>
      <w:r>
        <w:rPr>
          <w:rFonts w:hint="eastAsia" w:ascii="宋体" w:hAnsi="宋体"/>
          <w:b/>
          <w:bCs/>
          <w:sz w:val="28"/>
          <w:szCs w:val="28"/>
        </w:rPr>
        <w:t>第十</w:t>
      </w:r>
      <w:r>
        <w:rPr>
          <w:rFonts w:hint="eastAsia" w:ascii="宋体" w:hAnsi="宋体"/>
          <w:b/>
          <w:bCs/>
          <w:sz w:val="28"/>
          <w:szCs w:val="28"/>
          <w:lang w:eastAsia="zh-CN"/>
        </w:rPr>
        <w:t>一</w:t>
      </w:r>
      <w:r>
        <w:rPr>
          <w:rFonts w:hint="eastAsia" w:ascii="宋体" w:hAnsi="宋体"/>
          <w:b/>
          <w:bCs/>
          <w:sz w:val="28"/>
          <w:szCs w:val="28"/>
        </w:rPr>
        <w:t>条</w:t>
      </w:r>
      <w:r>
        <w:rPr>
          <w:rFonts w:hint="eastAsia" w:ascii="宋体" w:hAnsi="宋体"/>
          <w:bCs/>
          <w:sz w:val="28"/>
          <w:szCs w:val="28"/>
        </w:rPr>
        <w:t>　学院</w:t>
      </w:r>
      <w:r>
        <w:rPr>
          <w:rFonts w:hint="eastAsia" w:ascii="宋体" w:hAnsi="宋体" w:cs="Times New Roman"/>
          <w:bCs/>
          <w:sz w:val="28"/>
          <w:szCs w:val="28"/>
        </w:rPr>
        <w:t>对享受照顾政策加分考生的录取，按照天津市的相关规定执行。</w:t>
      </w:r>
    </w:p>
    <w:p>
      <w:pPr>
        <w:keepNext w:val="0"/>
        <w:keepLines w:val="0"/>
        <w:pageBreakBefore w:val="0"/>
        <w:widowControl/>
        <w:kinsoku/>
        <w:wordWrap/>
        <w:overflowPunct/>
        <w:topLinePunct w:val="0"/>
        <w:autoSpaceDE/>
        <w:autoSpaceDN/>
        <w:bidi w:val="0"/>
        <w:adjustRightInd/>
        <w:spacing w:line="360" w:lineRule="auto"/>
        <w:ind w:firstLine="562" w:firstLineChars="200"/>
        <w:jc w:val="left"/>
        <w:textAlignment w:val="auto"/>
        <w:rPr>
          <w:rFonts w:hint="eastAsia" w:ascii="宋体" w:hAnsi="宋体" w:eastAsia="宋体" w:cs="Times New Roman"/>
          <w:bCs/>
          <w:sz w:val="28"/>
          <w:szCs w:val="28"/>
          <w:highlight w:val="none"/>
          <w:lang w:eastAsia="zh-CN"/>
        </w:rPr>
      </w:pPr>
      <w:r>
        <w:rPr>
          <w:rFonts w:hint="eastAsia" w:ascii="宋体" w:hAnsi="宋体" w:cs="Times New Roman"/>
          <w:b/>
          <w:bCs w:val="0"/>
          <w:sz w:val="28"/>
          <w:szCs w:val="28"/>
          <w:highlight w:val="none"/>
        </w:rPr>
        <w:t>第十</w:t>
      </w:r>
      <w:r>
        <w:rPr>
          <w:rFonts w:hint="eastAsia" w:ascii="宋体" w:hAnsi="宋体" w:cs="Times New Roman"/>
          <w:b/>
          <w:bCs w:val="0"/>
          <w:sz w:val="28"/>
          <w:szCs w:val="28"/>
          <w:highlight w:val="none"/>
          <w:lang w:eastAsia="zh-CN"/>
        </w:rPr>
        <w:t>二</w:t>
      </w:r>
      <w:r>
        <w:rPr>
          <w:rFonts w:hint="eastAsia" w:ascii="宋体" w:hAnsi="宋体" w:cs="Times New Roman"/>
          <w:b/>
          <w:bCs w:val="0"/>
          <w:sz w:val="28"/>
          <w:szCs w:val="28"/>
          <w:highlight w:val="none"/>
        </w:rPr>
        <w:t>条</w:t>
      </w:r>
      <w:r>
        <w:rPr>
          <w:rFonts w:hint="eastAsia" w:ascii="宋体" w:hAnsi="宋体" w:cs="Times New Roman"/>
          <w:bCs/>
          <w:sz w:val="28"/>
          <w:szCs w:val="28"/>
          <w:highlight w:val="none"/>
          <w:lang w:val="en-US" w:eastAsia="zh-CN"/>
        </w:rPr>
        <w:t xml:space="preserve">  </w:t>
      </w:r>
      <w:r>
        <w:rPr>
          <w:rFonts w:hint="eastAsia" w:ascii="宋体" w:hAnsi="宋体" w:cs="Times New Roman"/>
          <w:bCs/>
          <w:sz w:val="28"/>
          <w:szCs w:val="28"/>
          <w:highlight w:val="none"/>
        </w:rPr>
        <w:t>拟报考我院且符合退役士兵免试文化素质考试条件的考生，请务必在</w:t>
      </w:r>
      <w:r>
        <w:rPr>
          <w:rFonts w:hint="eastAsia" w:ascii="宋体" w:hAnsi="宋体" w:cs="Times New Roman"/>
          <w:bCs/>
          <w:sz w:val="28"/>
          <w:szCs w:val="28"/>
          <w:highlight w:val="none"/>
          <w:lang w:eastAsia="zh-CN"/>
        </w:rPr>
        <w:t>学院</w:t>
      </w:r>
      <w:r>
        <w:rPr>
          <w:rFonts w:hint="eastAsia" w:ascii="宋体" w:hAnsi="宋体" w:cs="Times New Roman"/>
          <w:bCs/>
          <w:sz w:val="28"/>
          <w:szCs w:val="28"/>
          <w:highlight w:val="none"/>
        </w:rPr>
        <w:t>公布招生计划后及时与</w:t>
      </w:r>
      <w:r>
        <w:rPr>
          <w:rFonts w:hint="eastAsia" w:ascii="宋体" w:hAnsi="宋体" w:cs="Times New Roman"/>
          <w:bCs/>
          <w:sz w:val="28"/>
          <w:szCs w:val="28"/>
          <w:highlight w:val="none"/>
          <w:lang w:eastAsia="zh-CN"/>
        </w:rPr>
        <w:t>学院</w:t>
      </w:r>
      <w:r>
        <w:rPr>
          <w:rFonts w:hint="eastAsia" w:ascii="宋体" w:hAnsi="宋体" w:cs="Times New Roman"/>
          <w:bCs/>
          <w:sz w:val="28"/>
          <w:szCs w:val="28"/>
          <w:highlight w:val="none"/>
        </w:rPr>
        <w:t>招生</w:t>
      </w:r>
      <w:r>
        <w:rPr>
          <w:rFonts w:hint="eastAsia" w:ascii="宋体" w:hAnsi="宋体" w:cs="Times New Roman"/>
          <w:bCs/>
          <w:sz w:val="28"/>
          <w:szCs w:val="28"/>
          <w:highlight w:val="none"/>
          <w:lang w:eastAsia="zh-CN"/>
        </w:rPr>
        <w:t>就业指导</w:t>
      </w:r>
      <w:r>
        <w:rPr>
          <w:rFonts w:hint="eastAsia" w:ascii="宋体" w:hAnsi="宋体" w:cs="Times New Roman"/>
          <w:bCs/>
          <w:sz w:val="28"/>
          <w:szCs w:val="28"/>
          <w:highlight w:val="none"/>
        </w:rPr>
        <w:t>办公室联系，参加我</w:t>
      </w:r>
      <w:r>
        <w:rPr>
          <w:rFonts w:hint="eastAsia" w:ascii="宋体" w:hAnsi="宋体" w:cs="Times New Roman"/>
          <w:bCs/>
          <w:sz w:val="28"/>
          <w:szCs w:val="28"/>
          <w:highlight w:val="none"/>
          <w:lang w:eastAsia="zh-CN"/>
        </w:rPr>
        <w:t>院</w:t>
      </w:r>
      <w:r>
        <w:rPr>
          <w:rFonts w:hint="eastAsia" w:ascii="宋体" w:hAnsi="宋体" w:cs="Times New Roman"/>
          <w:bCs/>
          <w:sz w:val="28"/>
          <w:szCs w:val="28"/>
          <w:highlight w:val="none"/>
        </w:rPr>
        <w:t>组织的与报考专业相关的职业适应性面试或技能测试</w:t>
      </w:r>
      <w:r>
        <w:rPr>
          <w:rFonts w:hint="eastAsia" w:ascii="宋体" w:hAnsi="宋体" w:eastAsia="宋体" w:cs="Times New Roman"/>
          <w:bCs/>
          <w:sz w:val="28"/>
          <w:szCs w:val="28"/>
          <w:highlight w:val="none"/>
          <w:lang w:eastAsia="zh-CN"/>
        </w:rPr>
        <w:t>。</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hint="eastAsia" w:ascii="宋体" w:hAnsi="宋体"/>
          <w:bCs/>
          <w:sz w:val="28"/>
          <w:szCs w:val="28"/>
        </w:rPr>
      </w:pPr>
      <w:r>
        <w:rPr>
          <w:rFonts w:hint="eastAsia" w:ascii="宋体" w:hAnsi="宋体"/>
          <w:b/>
          <w:bCs/>
          <w:sz w:val="28"/>
          <w:szCs w:val="28"/>
        </w:rPr>
        <w:t>第十</w:t>
      </w:r>
      <w:r>
        <w:rPr>
          <w:rFonts w:hint="eastAsia" w:ascii="宋体" w:hAnsi="宋体"/>
          <w:b/>
          <w:bCs/>
          <w:sz w:val="28"/>
          <w:szCs w:val="28"/>
          <w:lang w:eastAsia="zh-CN"/>
        </w:rPr>
        <w:t>三</w:t>
      </w:r>
      <w:r>
        <w:rPr>
          <w:rFonts w:hint="eastAsia" w:ascii="宋体" w:hAnsi="宋体"/>
          <w:b/>
          <w:bCs/>
          <w:sz w:val="28"/>
          <w:szCs w:val="28"/>
        </w:rPr>
        <w:t>条</w:t>
      </w:r>
      <w:r>
        <w:rPr>
          <w:rFonts w:hint="eastAsia" w:ascii="宋体" w:hAnsi="宋体"/>
          <w:bCs/>
          <w:sz w:val="28"/>
          <w:szCs w:val="28"/>
        </w:rPr>
        <w:t>　学院对艺术（美术）类专业录取原则：学院使用天津市普通高考艺术类美术类专业市级统考或高职分类考试招生艺术类美术类专业市级联考成绩（以下简称“美术专业统考成绩”），在美术专业统考成绩合格的前提下，专业志愿录取以分数优先为原则，即先按</w:t>
      </w:r>
      <w:r>
        <w:rPr>
          <w:rFonts w:hint="eastAsia" w:ascii="宋体" w:hAnsi="宋体"/>
          <w:bCs/>
          <w:sz w:val="28"/>
          <w:szCs w:val="28"/>
          <w:lang w:eastAsia="zh-CN"/>
        </w:rPr>
        <w:t>高职分类</w:t>
      </w:r>
      <w:r>
        <w:rPr>
          <w:rFonts w:hint="eastAsia" w:ascii="宋体" w:hAnsi="宋体"/>
          <w:bCs/>
          <w:sz w:val="28"/>
          <w:szCs w:val="28"/>
        </w:rPr>
        <w:t>考试总成绩从高分到低分顺序排队，并从高分到低分依次按照考生填报的专业志愿顺序录取。如有调整，以天津市招生委员会艺术（美术）类专业录取原则为准。</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ascii="宋体" w:hAnsi="宋体"/>
          <w:bCs/>
          <w:sz w:val="28"/>
          <w:szCs w:val="28"/>
        </w:rPr>
      </w:pPr>
      <w:r>
        <w:rPr>
          <w:rFonts w:hint="eastAsia" w:ascii="宋体" w:hAnsi="宋体"/>
          <w:b/>
          <w:bCs/>
          <w:sz w:val="28"/>
          <w:szCs w:val="28"/>
        </w:rPr>
        <w:t>第十</w:t>
      </w:r>
      <w:r>
        <w:rPr>
          <w:rFonts w:hint="eastAsia" w:ascii="宋体" w:hAnsi="宋体"/>
          <w:b/>
          <w:bCs/>
          <w:sz w:val="28"/>
          <w:szCs w:val="28"/>
          <w:lang w:eastAsia="zh-CN"/>
        </w:rPr>
        <w:t>四</w:t>
      </w:r>
      <w:r>
        <w:rPr>
          <w:rFonts w:hint="eastAsia" w:ascii="宋体" w:hAnsi="宋体"/>
          <w:b/>
          <w:bCs/>
          <w:sz w:val="28"/>
          <w:szCs w:val="28"/>
        </w:rPr>
        <w:t xml:space="preserve">条  </w:t>
      </w:r>
      <w:r>
        <w:rPr>
          <w:rFonts w:hint="eastAsia" w:ascii="宋体" w:hAnsi="宋体"/>
          <w:bCs/>
          <w:sz w:val="28"/>
          <w:szCs w:val="28"/>
        </w:rPr>
        <w:t>考生考试总成绩相同时，将按照语文、数学、综合能力、外语的单科成绩由高到低顺序录取。</w:t>
      </w:r>
    </w:p>
    <w:p>
      <w:pPr>
        <w:keepNext w:val="0"/>
        <w:keepLines w:val="0"/>
        <w:pageBreakBefore w:val="0"/>
        <w:widowControl/>
        <w:suppressLineNumbers w:val="0"/>
        <w:kinsoku/>
        <w:wordWrap/>
        <w:overflowPunct/>
        <w:topLinePunct w:val="0"/>
        <w:autoSpaceDE/>
        <w:autoSpaceDN/>
        <w:bidi w:val="0"/>
        <w:adjustRightInd/>
        <w:spacing w:line="360" w:lineRule="auto"/>
        <w:ind w:firstLine="562" w:firstLineChars="200"/>
        <w:jc w:val="both"/>
        <w:textAlignment w:val="auto"/>
        <w:rPr>
          <w:rFonts w:ascii="宋体"/>
          <w:bCs/>
          <w:sz w:val="28"/>
          <w:szCs w:val="28"/>
        </w:rPr>
      </w:pPr>
      <w:r>
        <w:rPr>
          <w:rFonts w:hint="eastAsia" w:ascii="宋体" w:hAnsi="宋体"/>
          <w:b/>
          <w:bCs/>
          <w:sz w:val="28"/>
          <w:szCs w:val="28"/>
        </w:rPr>
        <w:t>第十</w:t>
      </w:r>
      <w:r>
        <w:rPr>
          <w:rFonts w:hint="eastAsia" w:ascii="宋体" w:hAnsi="宋体"/>
          <w:b/>
          <w:bCs/>
          <w:sz w:val="28"/>
          <w:szCs w:val="28"/>
          <w:lang w:eastAsia="zh-CN"/>
        </w:rPr>
        <w:t>五</w:t>
      </w:r>
      <w:r>
        <w:rPr>
          <w:rFonts w:hint="eastAsia" w:ascii="宋体" w:hAnsi="宋体"/>
          <w:b/>
          <w:bCs/>
          <w:sz w:val="28"/>
          <w:szCs w:val="28"/>
        </w:rPr>
        <w:t>条</w:t>
      </w:r>
      <w:r>
        <w:rPr>
          <w:rFonts w:hint="eastAsia" w:ascii="宋体" w:hAnsi="宋体"/>
          <w:bCs/>
          <w:sz w:val="28"/>
          <w:szCs w:val="28"/>
        </w:rPr>
        <w:t>　</w:t>
      </w:r>
      <w:r>
        <w:rPr>
          <w:rFonts w:hint="eastAsia" w:ascii="宋体" w:hAnsi="宋体"/>
          <w:sz w:val="28"/>
          <w:szCs w:val="28"/>
        </w:rPr>
        <w:t>凡参加</w:t>
      </w:r>
      <w:r>
        <w:rPr>
          <w:rFonts w:hint="eastAsia" w:ascii="宋体" w:hAnsi="宋体"/>
          <w:sz w:val="28"/>
          <w:szCs w:val="28"/>
          <w:lang w:val="en-US" w:eastAsia="zh-CN"/>
        </w:rPr>
        <w:t>天津市高职院校分类考试</w:t>
      </w:r>
      <w:r>
        <w:rPr>
          <w:rFonts w:hint="eastAsia" w:ascii="宋体" w:hAnsi="宋体" w:eastAsia="宋体" w:cs="Times New Roman"/>
          <w:bCs/>
          <w:sz w:val="28"/>
          <w:szCs w:val="28"/>
          <w:lang w:val="en-US" w:eastAsia="zh-CN"/>
        </w:rPr>
        <w:t>被</w:t>
      </w:r>
      <w:r>
        <w:rPr>
          <w:rFonts w:hint="eastAsia" w:ascii="宋体" w:hAnsi="宋体" w:cs="Times New Roman"/>
          <w:bCs/>
          <w:sz w:val="28"/>
          <w:szCs w:val="28"/>
          <w:lang w:val="en-US" w:eastAsia="zh-CN"/>
        </w:rPr>
        <w:t>我院</w:t>
      </w:r>
      <w:r>
        <w:rPr>
          <w:rFonts w:hint="eastAsia" w:ascii="宋体" w:hAnsi="宋体" w:eastAsia="宋体" w:cs="Times New Roman"/>
          <w:bCs/>
          <w:sz w:val="28"/>
          <w:szCs w:val="28"/>
          <w:lang w:val="en-US" w:eastAsia="zh-CN"/>
        </w:rPr>
        <w:t>录取的考生，如符合普通高考报名条件且报名参加考试，只能报考普通高考本科各批次的志愿。如考生被普通高考本科层次院校和高职分类考试招生高职院校同时录取，教育主管部门在进行电子学籍注册时，只保留其普通高考本科层次录取资格，高职分类考试招生的录取资格将予注销。</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ascii="宋体"/>
          <w:bCs/>
          <w:sz w:val="28"/>
          <w:szCs w:val="28"/>
        </w:rPr>
      </w:pPr>
      <w:r>
        <w:rPr>
          <w:rFonts w:hint="eastAsia" w:ascii="宋体" w:hAnsi="宋体"/>
          <w:b/>
          <w:bCs/>
          <w:sz w:val="28"/>
          <w:szCs w:val="28"/>
        </w:rPr>
        <w:t>第十</w:t>
      </w:r>
      <w:r>
        <w:rPr>
          <w:rFonts w:hint="eastAsia" w:ascii="宋体" w:hAnsi="宋体"/>
          <w:b/>
          <w:bCs/>
          <w:sz w:val="28"/>
          <w:szCs w:val="28"/>
          <w:lang w:eastAsia="zh-CN"/>
        </w:rPr>
        <w:t>六</w:t>
      </w:r>
      <w:r>
        <w:rPr>
          <w:rFonts w:hint="eastAsia" w:ascii="宋体" w:hAnsi="宋体"/>
          <w:b/>
          <w:bCs/>
          <w:sz w:val="28"/>
          <w:szCs w:val="28"/>
        </w:rPr>
        <w:t>条</w:t>
      </w:r>
      <w:r>
        <w:rPr>
          <w:rFonts w:hint="eastAsia" w:ascii="宋体" w:hAnsi="宋体"/>
          <w:bCs/>
          <w:sz w:val="28"/>
          <w:szCs w:val="28"/>
        </w:rPr>
        <w:t>　关于录取专业对身体健康要求，执行教育部、卫生部、中国残疾人联合会颁布的《普通高等学校招生体检工作指导意见》及人力资源社会保障部、教育部、卫生部《关于进一步规范入学和就业体检项目维护乙肝表面抗原携带者入学和就业权利的通知》等有关要求。对于不符合要求的考生，按照《普通高等学校招生体检工作指导意见》的相关规定处理。</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hint="eastAsia"/>
          <w:bCs/>
          <w:sz w:val="28"/>
        </w:rPr>
      </w:pPr>
      <w:r>
        <w:rPr>
          <w:rFonts w:hint="eastAsia" w:ascii="宋体" w:hAnsi="宋体"/>
          <w:b/>
          <w:bCs/>
          <w:sz w:val="28"/>
          <w:szCs w:val="28"/>
        </w:rPr>
        <w:t>第十</w:t>
      </w:r>
      <w:r>
        <w:rPr>
          <w:rFonts w:hint="eastAsia" w:ascii="宋体" w:hAnsi="宋体"/>
          <w:b/>
          <w:bCs/>
          <w:sz w:val="28"/>
          <w:szCs w:val="28"/>
          <w:lang w:eastAsia="zh-CN"/>
        </w:rPr>
        <w:t>七</w:t>
      </w:r>
      <w:r>
        <w:rPr>
          <w:rFonts w:hint="eastAsia" w:ascii="宋体" w:hAnsi="宋体"/>
          <w:b/>
          <w:bCs/>
          <w:sz w:val="28"/>
          <w:szCs w:val="28"/>
        </w:rPr>
        <w:t>条</w:t>
      </w:r>
      <w:r>
        <w:rPr>
          <w:rFonts w:hint="eastAsia" w:ascii="宋体" w:hAnsi="宋体"/>
          <w:bCs/>
          <w:sz w:val="28"/>
          <w:szCs w:val="28"/>
        </w:rPr>
        <w:t>　</w:t>
      </w:r>
      <w:r>
        <w:rPr>
          <w:rFonts w:hint="eastAsia"/>
          <w:bCs/>
          <w:sz w:val="28"/>
        </w:rPr>
        <w:t>学院各招生专业的公共外语课程均为英语，小语种考生慎重填报。各专业招生没有男女生比例限制。</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ascii="宋体"/>
          <w:bCs/>
          <w:sz w:val="28"/>
          <w:szCs w:val="28"/>
        </w:rPr>
      </w:pPr>
      <w:r>
        <w:rPr>
          <w:rFonts w:hint="eastAsia" w:ascii="宋体" w:hAnsi="宋体"/>
          <w:b/>
          <w:bCs/>
          <w:sz w:val="28"/>
          <w:szCs w:val="28"/>
        </w:rPr>
        <w:t>第十</w:t>
      </w:r>
      <w:r>
        <w:rPr>
          <w:rFonts w:hint="eastAsia" w:ascii="宋体" w:hAnsi="宋体"/>
          <w:b/>
          <w:bCs/>
          <w:sz w:val="28"/>
          <w:szCs w:val="28"/>
          <w:lang w:eastAsia="zh-CN"/>
        </w:rPr>
        <w:t>八</w:t>
      </w:r>
      <w:r>
        <w:rPr>
          <w:rFonts w:hint="eastAsia" w:ascii="宋体" w:hAnsi="宋体"/>
          <w:b/>
          <w:bCs/>
          <w:sz w:val="28"/>
          <w:szCs w:val="28"/>
        </w:rPr>
        <w:t>条</w:t>
      </w:r>
      <w:r>
        <w:rPr>
          <w:rFonts w:hint="eastAsia" w:ascii="宋体" w:hAnsi="宋体"/>
          <w:bCs/>
          <w:sz w:val="28"/>
          <w:szCs w:val="28"/>
        </w:rPr>
        <w:t>　学院在接到天津市高招办核准备案的录取考生名单后以特快专递形式寄发录取通知书，考生可通过天津市高招办公布的查询电话、学院的咨询电话或登录学院招生网等方式查询录取结果。</w:t>
      </w:r>
    </w:p>
    <w:p>
      <w:pPr>
        <w:keepNext w:val="0"/>
        <w:keepLines w:val="0"/>
        <w:pageBreakBefore w:val="0"/>
        <w:kinsoku/>
        <w:wordWrap/>
        <w:overflowPunct/>
        <w:topLinePunct w:val="0"/>
        <w:autoSpaceDE/>
        <w:autoSpaceDN/>
        <w:bidi w:val="0"/>
        <w:adjustRightInd/>
        <w:spacing w:line="360" w:lineRule="auto"/>
        <w:jc w:val="center"/>
        <w:textAlignment w:val="auto"/>
        <w:rPr>
          <w:rFonts w:ascii="宋体"/>
          <w:b/>
          <w:bCs/>
          <w:sz w:val="28"/>
          <w:szCs w:val="28"/>
        </w:rPr>
      </w:pPr>
      <w:r>
        <w:rPr>
          <w:rFonts w:hint="eastAsia" w:ascii="宋体" w:hAnsi="宋体"/>
          <w:b/>
          <w:bCs/>
          <w:sz w:val="28"/>
          <w:szCs w:val="28"/>
        </w:rPr>
        <w:t>第五章　后续管理</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hint="eastAsia" w:ascii="宋体" w:hAnsi="宋体"/>
          <w:b/>
          <w:bCs/>
          <w:sz w:val="28"/>
          <w:szCs w:val="28"/>
        </w:rPr>
      </w:pPr>
      <w:r>
        <w:rPr>
          <w:rFonts w:hint="eastAsia" w:ascii="宋体" w:hAnsi="宋体" w:eastAsia="宋体" w:cs="Times New Roman"/>
          <w:b/>
          <w:sz w:val="28"/>
          <w:szCs w:val="28"/>
        </w:rPr>
        <w:t>第</w:t>
      </w:r>
      <w:r>
        <w:rPr>
          <w:rFonts w:hint="eastAsia" w:ascii="宋体" w:hAnsi="宋体" w:cs="Times New Roman"/>
          <w:b/>
          <w:sz w:val="28"/>
          <w:szCs w:val="28"/>
          <w:lang w:eastAsia="zh-CN"/>
        </w:rPr>
        <w:t>十九</w:t>
      </w:r>
      <w:r>
        <w:rPr>
          <w:rFonts w:hint="eastAsia" w:ascii="宋体" w:hAnsi="宋体" w:eastAsia="宋体" w:cs="Times New Roman"/>
          <w:b/>
          <w:sz w:val="28"/>
          <w:szCs w:val="28"/>
        </w:rPr>
        <w:t>条</w:t>
      </w:r>
      <w:r>
        <w:rPr>
          <w:rFonts w:hint="eastAsia" w:ascii="宋体" w:hAnsi="宋体" w:eastAsia="宋体" w:cs="Times New Roman"/>
          <w:sz w:val="28"/>
          <w:szCs w:val="28"/>
        </w:rPr>
        <w:t>　新生录取后，持《录取通知书》按学院规定的时间和要求履行报到注册手续。因故不能按期报到者，应向学院请假。未请假或请假逾期者，除因不可抗力等正当理由外，均视为放弃入学资格。具体要求详见《天津轻工职业技术学院</w:t>
      </w:r>
      <w:r>
        <w:rPr>
          <w:rFonts w:ascii="宋体" w:hAnsi="宋体" w:eastAsia="宋体" w:cs="Times New Roman"/>
          <w:sz w:val="28"/>
          <w:szCs w:val="28"/>
        </w:rPr>
        <w:t>202</w:t>
      </w:r>
      <w:r>
        <w:rPr>
          <w:rFonts w:hint="eastAsia" w:ascii="宋体" w:hAnsi="宋体" w:eastAsia="宋体" w:cs="Times New Roman"/>
          <w:sz w:val="28"/>
          <w:szCs w:val="28"/>
          <w:lang w:val="en-US" w:eastAsia="zh-CN"/>
        </w:rPr>
        <w:t>4</w:t>
      </w:r>
      <w:r>
        <w:rPr>
          <w:rFonts w:hint="eastAsia" w:ascii="宋体" w:hAnsi="宋体" w:eastAsia="宋体" w:cs="Times New Roman"/>
          <w:sz w:val="28"/>
          <w:szCs w:val="28"/>
        </w:rPr>
        <w:t>年新生报到须知》。</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ascii="宋体"/>
          <w:bCs/>
          <w:sz w:val="28"/>
          <w:szCs w:val="28"/>
        </w:rPr>
      </w:pPr>
      <w:r>
        <w:rPr>
          <w:rFonts w:hint="eastAsia" w:ascii="宋体" w:hAnsi="宋体"/>
          <w:b/>
          <w:bCs/>
          <w:sz w:val="28"/>
          <w:szCs w:val="28"/>
        </w:rPr>
        <w:t>第</w:t>
      </w:r>
      <w:r>
        <w:rPr>
          <w:rFonts w:hint="eastAsia" w:ascii="宋体" w:hAnsi="宋体"/>
          <w:b/>
          <w:bCs/>
          <w:sz w:val="28"/>
          <w:szCs w:val="28"/>
          <w:lang w:eastAsia="zh-CN"/>
        </w:rPr>
        <w:t>二十</w:t>
      </w:r>
      <w:r>
        <w:rPr>
          <w:rFonts w:hint="eastAsia" w:ascii="宋体" w:hAnsi="宋体"/>
          <w:b/>
          <w:bCs/>
          <w:sz w:val="28"/>
          <w:szCs w:val="28"/>
        </w:rPr>
        <w:t>条</w:t>
      </w:r>
      <w:r>
        <w:rPr>
          <w:rFonts w:hint="eastAsia" w:ascii="宋体" w:hAnsi="宋体"/>
          <w:bCs/>
          <w:sz w:val="28"/>
          <w:szCs w:val="28"/>
        </w:rPr>
        <w:t>　新生入学后，学院将按照有关规定对其进行复查。复查合格者予以注册，取得学籍；复查不合格者，由学院区别情况予以处理，直至取消入学资格。</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ascii="宋体"/>
          <w:bCs/>
          <w:sz w:val="28"/>
          <w:szCs w:val="28"/>
        </w:rPr>
      </w:pPr>
      <w:r>
        <w:rPr>
          <w:rFonts w:hint="eastAsia" w:ascii="宋体" w:hAnsi="宋体"/>
          <w:b/>
          <w:bCs/>
          <w:sz w:val="28"/>
          <w:szCs w:val="28"/>
        </w:rPr>
        <w:t>第</w:t>
      </w:r>
      <w:r>
        <w:rPr>
          <w:rFonts w:hint="eastAsia" w:ascii="宋体" w:hAnsi="宋体"/>
          <w:b/>
          <w:bCs/>
          <w:sz w:val="28"/>
          <w:szCs w:val="28"/>
          <w:lang w:eastAsia="zh-CN"/>
        </w:rPr>
        <w:t>二十一</w:t>
      </w:r>
      <w:r>
        <w:rPr>
          <w:rFonts w:hint="eastAsia" w:ascii="宋体" w:hAnsi="宋体"/>
          <w:b/>
          <w:bCs/>
          <w:sz w:val="28"/>
          <w:szCs w:val="28"/>
        </w:rPr>
        <w:t>条</w:t>
      </w:r>
      <w:r>
        <w:rPr>
          <w:rFonts w:hint="eastAsia" w:ascii="宋体" w:hAnsi="宋体"/>
          <w:bCs/>
          <w:sz w:val="28"/>
          <w:szCs w:val="28"/>
        </w:rPr>
        <w:t>　学院根据《天津轻工职业技术学院学生管理规定》等规章制度进行管理，按各专业人才培养方案对学生进行培养。</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ascii="宋体"/>
          <w:bCs/>
          <w:sz w:val="28"/>
          <w:szCs w:val="28"/>
        </w:rPr>
      </w:pPr>
      <w:r>
        <w:rPr>
          <w:rFonts w:hint="eastAsia" w:ascii="宋体" w:hAnsi="宋体"/>
          <w:b/>
          <w:bCs/>
          <w:sz w:val="28"/>
          <w:szCs w:val="28"/>
        </w:rPr>
        <w:t>第</w:t>
      </w:r>
      <w:r>
        <w:rPr>
          <w:rFonts w:hint="eastAsia" w:ascii="宋体" w:hAnsi="宋体"/>
          <w:b/>
          <w:bCs/>
          <w:sz w:val="28"/>
          <w:szCs w:val="28"/>
          <w:lang w:eastAsia="zh-CN"/>
        </w:rPr>
        <w:t>二十二</w:t>
      </w:r>
      <w:r>
        <w:rPr>
          <w:rFonts w:hint="eastAsia" w:ascii="宋体" w:hAnsi="宋体"/>
          <w:b/>
          <w:bCs/>
          <w:sz w:val="28"/>
          <w:szCs w:val="28"/>
        </w:rPr>
        <w:t>条</w:t>
      </w:r>
      <w:r>
        <w:rPr>
          <w:rFonts w:hint="eastAsia" w:ascii="宋体" w:hAnsi="宋体"/>
          <w:bCs/>
          <w:sz w:val="28"/>
          <w:szCs w:val="28"/>
        </w:rPr>
        <w:t>　学院设有多种形式奖、助学金；设有国家助学贷款；为贫困生设有勤工助学岗位，保障了贫困家庭学生的就学，激励了优秀学生的发展。</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ascii="宋体"/>
          <w:bCs/>
          <w:sz w:val="28"/>
          <w:szCs w:val="28"/>
        </w:rPr>
      </w:pPr>
      <w:r>
        <w:rPr>
          <w:rFonts w:hint="eastAsia" w:ascii="宋体" w:hAnsi="宋体"/>
          <w:b/>
          <w:bCs/>
          <w:sz w:val="28"/>
          <w:szCs w:val="28"/>
        </w:rPr>
        <w:t>第二十</w:t>
      </w:r>
      <w:r>
        <w:rPr>
          <w:rFonts w:hint="eastAsia" w:ascii="宋体" w:hAnsi="宋体"/>
          <w:b/>
          <w:bCs/>
          <w:sz w:val="28"/>
          <w:szCs w:val="28"/>
          <w:lang w:eastAsia="zh-CN"/>
        </w:rPr>
        <w:t>三</w:t>
      </w:r>
      <w:r>
        <w:rPr>
          <w:rFonts w:hint="eastAsia" w:ascii="宋体" w:hAnsi="宋体"/>
          <w:b/>
          <w:bCs/>
          <w:sz w:val="28"/>
          <w:szCs w:val="28"/>
        </w:rPr>
        <w:t>条</w:t>
      </w:r>
      <w:r>
        <w:rPr>
          <w:rFonts w:hint="eastAsia" w:ascii="宋体" w:hAnsi="宋体"/>
          <w:bCs/>
          <w:sz w:val="28"/>
          <w:szCs w:val="28"/>
        </w:rPr>
        <w:t>　学生完成规定学业经审查达到毕业标准的颁发天津轻工职业技术学院全日制普通高等学校专科毕业证书。</w:t>
      </w:r>
    </w:p>
    <w:p>
      <w:pPr>
        <w:keepNext w:val="0"/>
        <w:keepLines w:val="0"/>
        <w:pageBreakBefore w:val="0"/>
        <w:kinsoku/>
        <w:wordWrap/>
        <w:overflowPunct/>
        <w:topLinePunct w:val="0"/>
        <w:autoSpaceDE/>
        <w:autoSpaceDN/>
        <w:bidi w:val="0"/>
        <w:adjustRightInd/>
        <w:spacing w:line="360" w:lineRule="auto"/>
        <w:jc w:val="center"/>
        <w:textAlignment w:val="auto"/>
        <w:rPr>
          <w:rFonts w:ascii="宋体"/>
          <w:b/>
          <w:bCs/>
          <w:sz w:val="28"/>
          <w:szCs w:val="28"/>
        </w:rPr>
      </w:pPr>
      <w:r>
        <w:rPr>
          <w:rFonts w:hint="eastAsia" w:ascii="宋体" w:hAnsi="宋体"/>
          <w:b/>
          <w:bCs/>
          <w:sz w:val="28"/>
          <w:szCs w:val="28"/>
        </w:rPr>
        <w:t>第六章　附　则</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ascii="宋体"/>
          <w:bCs/>
          <w:sz w:val="28"/>
          <w:szCs w:val="28"/>
        </w:rPr>
      </w:pPr>
      <w:r>
        <w:rPr>
          <w:rFonts w:hint="eastAsia" w:ascii="宋体" w:hAnsi="宋体"/>
          <w:b/>
          <w:bCs/>
          <w:sz w:val="28"/>
          <w:szCs w:val="28"/>
        </w:rPr>
        <w:t>第二十</w:t>
      </w:r>
      <w:r>
        <w:rPr>
          <w:rFonts w:hint="eastAsia" w:ascii="宋体" w:hAnsi="宋体"/>
          <w:b/>
          <w:bCs/>
          <w:sz w:val="28"/>
          <w:szCs w:val="28"/>
          <w:lang w:eastAsia="zh-CN"/>
        </w:rPr>
        <w:t>四</w:t>
      </w:r>
      <w:r>
        <w:rPr>
          <w:rFonts w:hint="eastAsia" w:ascii="宋体" w:hAnsi="宋体"/>
          <w:b/>
          <w:bCs/>
          <w:sz w:val="28"/>
          <w:szCs w:val="28"/>
        </w:rPr>
        <w:t>条</w:t>
      </w:r>
      <w:r>
        <w:rPr>
          <w:rFonts w:hint="eastAsia" w:ascii="宋体" w:hAnsi="宋体"/>
          <w:bCs/>
          <w:sz w:val="28"/>
          <w:szCs w:val="28"/>
        </w:rPr>
        <w:t>　本章程仅适用于</w:t>
      </w:r>
      <w:r>
        <w:rPr>
          <w:rFonts w:ascii="宋体" w:hAnsi="宋体"/>
          <w:bCs/>
          <w:sz w:val="28"/>
          <w:szCs w:val="28"/>
        </w:rPr>
        <w:t>202</w:t>
      </w:r>
      <w:r>
        <w:rPr>
          <w:rFonts w:hint="eastAsia" w:ascii="宋体" w:hAnsi="宋体"/>
          <w:bCs/>
          <w:sz w:val="28"/>
          <w:szCs w:val="28"/>
          <w:lang w:val="en-US" w:eastAsia="zh-CN"/>
        </w:rPr>
        <w:t>4</w:t>
      </w:r>
      <w:r>
        <w:rPr>
          <w:rFonts w:hint="eastAsia" w:ascii="宋体" w:hAnsi="宋体"/>
          <w:bCs/>
          <w:sz w:val="28"/>
          <w:szCs w:val="28"/>
        </w:rPr>
        <w:t>年天津轻工职业技术学院</w:t>
      </w:r>
      <w:r>
        <w:rPr>
          <w:rFonts w:hint="eastAsia" w:ascii="宋体" w:hAnsi="宋体"/>
          <w:bCs/>
          <w:sz w:val="28"/>
          <w:szCs w:val="28"/>
          <w:lang w:eastAsia="zh-CN"/>
        </w:rPr>
        <w:t>高职分类</w:t>
      </w:r>
      <w:r>
        <w:rPr>
          <w:rFonts w:hint="eastAsia" w:ascii="宋体" w:hAnsi="宋体"/>
          <w:bCs/>
          <w:sz w:val="28"/>
          <w:szCs w:val="28"/>
        </w:rPr>
        <w:t>考试招收中职毕业生招生工作。</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ascii="宋体"/>
          <w:bCs/>
          <w:sz w:val="28"/>
          <w:szCs w:val="28"/>
        </w:rPr>
      </w:pPr>
      <w:r>
        <w:rPr>
          <w:rFonts w:hint="eastAsia" w:ascii="宋体" w:hAnsi="宋体"/>
          <w:b/>
          <w:bCs/>
          <w:sz w:val="28"/>
          <w:szCs w:val="28"/>
        </w:rPr>
        <w:t>第二十</w:t>
      </w:r>
      <w:r>
        <w:rPr>
          <w:rFonts w:hint="eastAsia" w:ascii="宋体" w:hAnsi="宋体"/>
          <w:b/>
          <w:bCs/>
          <w:sz w:val="28"/>
          <w:szCs w:val="28"/>
          <w:lang w:eastAsia="zh-CN"/>
        </w:rPr>
        <w:t>五</w:t>
      </w:r>
      <w:r>
        <w:rPr>
          <w:rFonts w:hint="eastAsia" w:ascii="宋体" w:hAnsi="宋体"/>
          <w:b/>
          <w:bCs/>
          <w:sz w:val="28"/>
          <w:szCs w:val="28"/>
        </w:rPr>
        <w:t>条</w:t>
      </w:r>
      <w:r>
        <w:rPr>
          <w:rFonts w:hint="eastAsia" w:ascii="宋体" w:hAnsi="宋体"/>
          <w:bCs/>
          <w:sz w:val="28"/>
          <w:szCs w:val="28"/>
        </w:rPr>
        <w:t>　本章程经学院招生委员会、招生工作领导小组审议通过，并报上级教育主管部门审核。</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ascii="宋体"/>
          <w:bCs/>
          <w:sz w:val="28"/>
          <w:szCs w:val="28"/>
        </w:rPr>
      </w:pPr>
      <w:r>
        <w:rPr>
          <w:rFonts w:hint="eastAsia" w:ascii="宋体" w:hAnsi="宋体"/>
          <w:b/>
          <w:bCs/>
          <w:sz w:val="28"/>
          <w:szCs w:val="28"/>
        </w:rPr>
        <w:t>第二十</w:t>
      </w:r>
      <w:r>
        <w:rPr>
          <w:rFonts w:hint="eastAsia" w:ascii="宋体" w:hAnsi="宋体"/>
          <w:b/>
          <w:bCs/>
          <w:sz w:val="28"/>
          <w:szCs w:val="28"/>
          <w:lang w:eastAsia="zh-CN"/>
        </w:rPr>
        <w:t>六</w:t>
      </w:r>
      <w:r>
        <w:rPr>
          <w:rFonts w:hint="eastAsia" w:ascii="宋体" w:hAnsi="宋体"/>
          <w:b/>
          <w:bCs/>
          <w:sz w:val="28"/>
          <w:szCs w:val="28"/>
        </w:rPr>
        <w:t>条</w:t>
      </w:r>
      <w:r>
        <w:rPr>
          <w:rFonts w:hint="eastAsia" w:ascii="宋体" w:hAnsi="宋体"/>
          <w:bCs/>
          <w:sz w:val="28"/>
          <w:szCs w:val="28"/>
        </w:rPr>
        <w:t>　本章程自公布之日起执行。</w:t>
      </w:r>
      <w:r>
        <w:rPr>
          <w:rFonts w:hint="eastAsia" w:ascii="宋体" w:hAnsi="宋体"/>
          <w:sz w:val="28"/>
          <w:szCs w:val="28"/>
        </w:rPr>
        <w:t>凡以前有关</w:t>
      </w:r>
      <w:r>
        <w:rPr>
          <w:rFonts w:hint="eastAsia" w:ascii="宋体" w:hAnsi="宋体"/>
          <w:sz w:val="28"/>
          <w:szCs w:val="28"/>
          <w:highlight w:val="none"/>
          <w:lang w:eastAsia="zh-CN"/>
        </w:rPr>
        <w:t>高职分类</w:t>
      </w:r>
      <w:r>
        <w:rPr>
          <w:rFonts w:hint="eastAsia" w:ascii="宋体" w:hAnsi="宋体"/>
          <w:sz w:val="28"/>
          <w:szCs w:val="28"/>
          <w:highlight w:val="none"/>
        </w:rPr>
        <w:t>考</w:t>
      </w:r>
      <w:r>
        <w:rPr>
          <w:rFonts w:hint="eastAsia" w:ascii="宋体" w:hAnsi="宋体"/>
          <w:sz w:val="28"/>
          <w:szCs w:val="28"/>
        </w:rPr>
        <w:t>试招收</w:t>
      </w:r>
      <w:r>
        <w:rPr>
          <w:rFonts w:hint="eastAsia" w:ascii="宋体" w:hAnsi="宋体"/>
          <w:sz w:val="28"/>
          <w:szCs w:val="28"/>
          <w:lang w:eastAsia="zh-CN"/>
        </w:rPr>
        <w:t>中职</w:t>
      </w:r>
      <w:r>
        <w:rPr>
          <w:rFonts w:hint="eastAsia" w:ascii="宋体" w:hAnsi="宋体"/>
          <w:sz w:val="28"/>
          <w:szCs w:val="28"/>
        </w:rPr>
        <w:t>毕业生</w:t>
      </w:r>
      <w:r>
        <w:rPr>
          <w:rFonts w:hint="eastAsia" w:ascii="宋体" w:hAnsi="宋体"/>
          <w:bCs/>
          <w:sz w:val="28"/>
          <w:szCs w:val="28"/>
        </w:rPr>
        <w:t>招生工作的政策、规定与本章程不一致的，均以本章程规定为准。</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ascii="宋体"/>
          <w:bCs/>
          <w:sz w:val="28"/>
          <w:szCs w:val="28"/>
        </w:rPr>
      </w:pPr>
      <w:r>
        <w:rPr>
          <w:rFonts w:hint="eastAsia" w:ascii="宋体" w:hAnsi="宋体"/>
          <w:b/>
          <w:bCs/>
          <w:sz w:val="28"/>
          <w:szCs w:val="28"/>
        </w:rPr>
        <w:t>第二十</w:t>
      </w:r>
      <w:r>
        <w:rPr>
          <w:rFonts w:hint="eastAsia" w:ascii="宋体" w:hAnsi="宋体"/>
          <w:b/>
          <w:bCs/>
          <w:sz w:val="28"/>
          <w:szCs w:val="28"/>
          <w:lang w:eastAsia="zh-CN"/>
        </w:rPr>
        <w:t>七</w:t>
      </w:r>
      <w:r>
        <w:rPr>
          <w:rFonts w:hint="eastAsia" w:ascii="宋体" w:hAnsi="宋体"/>
          <w:b/>
          <w:bCs/>
          <w:sz w:val="28"/>
          <w:szCs w:val="28"/>
        </w:rPr>
        <w:t>条</w:t>
      </w:r>
      <w:r>
        <w:rPr>
          <w:rFonts w:hint="eastAsia" w:ascii="宋体" w:hAnsi="宋体"/>
          <w:bCs/>
          <w:sz w:val="28"/>
          <w:szCs w:val="28"/>
        </w:rPr>
        <w:t>　本章程由学院招生就业指导</w:t>
      </w:r>
      <w:r>
        <w:rPr>
          <w:rFonts w:hint="eastAsia" w:ascii="宋体" w:hAnsi="宋体"/>
          <w:bCs/>
          <w:sz w:val="28"/>
          <w:szCs w:val="28"/>
          <w:lang w:eastAsia="zh-CN"/>
        </w:rPr>
        <w:t>办公室</w:t>
      </w:r>
      <w:r>
        <w:rPr>
          <w:rFonts w:hint="eastAsia" w:ascii="宋体" w:hAnsi="宋体"/>
          <w:bCs/>
          <w:sz w:val="28"/>
          <w:szCs w:val="28"/>
        </w:rPr>
        <w:t>负责解释。招生咨询过程中学院咨询人员的意见、建议仅作为考生填报志愿的参考，不作为学院录取承诺。</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ascii="宋体"/>
          <w:bCs/>
          <w:sz w:val="28"/>
          <w:szCs w:val="28"/>
        </w:rPr>
      </w:pPr>
      <w:bookmarkStart w:id="0" w:name="_Hlt9142018"/>
      <w:bookmarkStart w:id="1" w:name="_Hlt9142017"/>
      <w:r>
        <w:rPr>
          <w:rFonts w:hint="eastAsia" w:ascii="宋体" w:hAnsi="宋体"/>
          <w:b/>
          <w:bCs/>
          <w:sz w:val="28"/>
          <w:szCs w:val="28"/>
        </w:rPr>
        <w:t>第二十</w:t>
      </w:r>
      <w:r>
        <w:rPr>
          <w:rFonts w:hint="eastAsia" w:ascii="宋体" w:hAnsi="宋体"/>
          <w:b/>
          <w:bCs/>
          <w:sz w:val="28"/>
          <w:szCs w:val="28"/>
          <w:lang w:eastAsia="zh-CN"/>
        </w:rPr>
        <w:t>八</w:t>
      </w:r>
      <w:r>
        <w:rPr>
          <w:rFonts w:hint="eastAsia" w:ascii="宋体" w:hAnsi="宋体"/>
          <w:b/>
          <w:bCs/>
          <w:sz w:val="28"/>
          <w:szCs w:val="28"/>
        </w:rPr>
        <w:t>条</w:t>
      </w:r>
      <w:r>
        <w:rPr>
          <w:rFonts w:hint="eastAsia" w:ascii="宋体" w:hAnsi="宋体"/>
          <w:bCs/>
          <w:sz w:val="28"/>
          <w:szCs w:val="28"/>
        </w:rPr>
        <w:t>　录取结果公布渠道：录取结果通过学院招生网、咨询电话、邮寄录取通知书公布。</w:t>
      </w:r>
    </w:p>
    <w:p>
      <w:pPr>
        <w:keepNext w:val="0"/>
        <w:keepLines w:val="0"/>
        <w:pageBreakBefore w:val="0"/>
        <w:kinsoku/>
        <w:wordWrap/>
        <w:overflowPunct/>
        <w:topLinePunct w:val="0"/>
        <w:autoSpaceDE/>
        <w:autoSpaceDN/>
        <w:bidi w:val="0"/>
        <w:adjustRightInd/>
        <w:spacing w:line="360" w:lineRule="auto"/>
        <w:ind w:firstLine="562" w:firstLineChars="200"/>
        <w:textAlignment w:val="auto"/>
        <w:rPr>
          <w:rFonts w:ascii="宋体"/>
          <w:bCs/>
          <w:sz w:val="28"/>
          <w:szCs w:val="28"/>
        </w:rPr>
      </w:pPr>
      <w:r>
        <w:rPr>
          <w:rFonts w:hint="eastAsia" w:ascii="宋体" w:hAnsi="宋体"/>
          <w:b/>
          <w:bCs/>
          <w:sz w:val="28"/>
          <w:szCs w:val="28"/>
        </w:rPr>
        <w:t>第</w:t>
      </w:r>
      <w:r>
        <w:rPr>
          <w:rFonts w:hint="eastAsia" w:ascii="宋体" w:hAnsi="宋体"/>
          <w:b/>
          <w:bCs/>
          <w:sz w:val="28"/>
          <w:szCs w:val="28"/>
          <w:lang w:eastAsia="zh-CN"/>
        </w:rPr>
        <w:t>二十九</w:t>
      </w:r>
      <w:r>
        <w:rPr>
          <w:rFonts w:hint="eastAsia" w:ascii="宋体" w:hAnsi="宋体"/>
          <w:b/>
          <w:bCs/>
          <w:sz w:val="28"/>
          <w:szCs w:val="28"/>
        </w:rPr>
        <w:t>条</w:t>
      </w:r>
      <w:r>
        <w:rPr>
          <w:rFonts w:hint="eastAsia" w:ascii="宋体" w:hAnsi="宋体"/>
          <w:bCs/>
          <w:sz w:val="28"/>
          <w:szCs w:val="28"/>
        </w:rPr>
        <w:t>　联系方式：</w:t>
      </w:r>
      <w:bookmarkEnd w:id="0"/>
      <w:bookmarkEnd w:id="1"/>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ascii="宋体" w:hAnsi="宋体"/>
          <w:bCs/>
          <w:sz w:val="28"/>
          <w:szCs w:val="28"/>
        </w:rPr>
      </w:pPr>
      <w:r>
        <w:rPr>
          <w:rFonts w:hint="eastAsia" w:ascii="宋体" w:hAnsi="宋体"/>
          <w:bCs/>
          <w:sz w:val="28"/>
          <w:szCs w:val="28"/>
          <w:lang w:eastAsia="zh-CN"/>
        </w:rPr>
        <w:t>学院</w:t>
      </w:r>
      <w:r>
        <w:rPr>
          <w:rFonts w:hint="eastAsia" w:ascii="宋体" w:hAnsi="宋体"/>
          <w:bCs/>
          <w:sz w:val="28"/>
          <w:szCs w:val="28"/>
        </w:rPr>
        <w:t>地址：天津海河教育园区雅观路</w:t>
      </w:r>
      <w:r>
        <w:rPr>
          <w:rFonts w:ascii="宋体" w:hAnsi="宋体"/>
          <w:bCs/>
          <w:sz w:val="28"/>
          <w:szCs w:val="28"/>
        </w:rPr>
        <w:t>1</w:t>
      </w:r>
      <w:r>
        <w:rPr>
          <w:rFonts w:hint="eastAsia" w:ascii="宋体" w:hAnsi="宋体"/>
          <w:bCs/>
          <w:sz w:val="28"/>
          <w:szCs w:val="28"/>
        </w:rPr>
        <w:t>号</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ascii="宋体"/>
          <w:bCs/>
          <w:sz w:val="28"/>
          <w:szCs w:val="28"/>
        </w:rPr>
      </w:pPr>
      <w:r>
        <w:rPr>
          <w:rFonts w:hint="eastAsia" w:ascii="宋体" w:hAnsi="宋体"/>
          <w:bCs/>
          <w:sz w:val="28"/>
          <w:szCs w:val="28"/>
          <w:lang w:eastAsia="zh-CN"/>
        </w:rPr>
        <w:t>咨询</w:t>
      </w:r>
      <w:r>
        <w:rPr>
          <w:rFonts w:hint="eastAsia" w:ascii="宋体" w:hAnsi="宋体"/>
          <w:bCs/>
          <w:sz w:val="28"/>
          <w:szCs w:val="28"/>
        </w:rPr>
        <w:t>电话：</w:t>
      </w:r>
      <w:r>
        <w:rPr>
          <w:rFonts w:ascii="宋体" w:hAnsi="宋体"/>
          <w:bCs/>
          <w:sz w:val="28"/>
          <w:szCs w:val="28"/>
        </w:rPr>
        <w:t>4006-246-357</w:t>
      </w:r>
      <w:r>
        <w:rPr>
          <w:rFonts w:hint="eastAsia" w:ascii="宋体" w:hAnsi="宋体"/>
          <w:bCs/>
          <w:sz w:val="28"/>
          <w:szCs w:val="28"/>
        </w:rPr>
        <w:t>　</w:t>
      </w:r>
      <w:r>
        <w:rPr>
          <w:rFonts w:ascii="宋体" w:hAnsi="宋体"/>
          <w:bCs/>
          <w:sz w:val="28"/>
          <w:szCs w:val="28"/>
        </w:rPr>
        <w:t>022-27391636</w:t>
      </w:r>
      <w:r>
        <w:rPr>
          <w:rFonts w:hint="eastAsia" w:ascii="宋体" w:hAnsi="宋体"/>
          <w:bCs/>
          <w:sz w:val="28"/>
          <w:szCs w:val="28"/>
        </w:rPr>
        <w:t>（兼传真）</w:t>
      </w:r>
    </w:p>
    <w:p>
      <w:pPr>
        <w:keepNext w:val="0"/>
        <w:keepLines w:val="0"/>
        <w:pageBreakBefore w:val="0"/>
        <w:kinsoku/>
        <w:wordWrap/>
        <w:overflowPunct/>
        <w:topLinePunct w:val="0"/>
        <w:bidi w:val="0"/>
        <w:snapToGrid/>
        <w:spacing w:line="360" w:lineRule="auto"/>
        <w:ind w:firstLine="560" w:firstLineChars="200"/>
        <w:textAlignment w:val="auto"/>
        <w:rPr>
          <w:rFonts w:hint="default" w:ascii="宋体" w:hAnsi="宋体" w:eastAsia="宋体"/>
          <w:sz w:val="28"/>
          <w:szCs w:val="28"/>
          <w:highlight w:val="yellow"/>
          <w:lang w:val="en-US" w:eastAsia="zh-CN"/>
        </w:rPr>
      </w:pPr>
      <w:r>
        <w:rPr>
          <w:rFonts w:hint="eastAsia" w:ascii="宋体" w:hAnsi="宋体"/>
          <w:sz w:val="28"/>
          <w:szCs w:val="28"/>
        </w:rPr>
        <w:t>监督电话：</w:t>
      </w:r>
      <w:r>
        <w:rPr>
          <w:rFonts w:hint="eastAsia" w:ascii="宋体" w:hAnsi="宋体"/>
          <w:sz w:val="28"/>
          <w:szCs w:val="28"/>
          <w:highlight w:val="none"/>
          <w:lang w:val="en-US" w:eastAsia="zh-CN"/>
        </w:rPr>
        <w:t>022-22993156</w:t>
      </w:r>
    </w:p>
    <w:p>
      <w:pPr>
        <w:keepNext w:val="0"/>
        <w:keepLines w:val="0"/>
        <w:pageBreakBefore w:val="0"/>
        <w:kinsoku/>
        <w:wordWrap/>
        <w:overflowPunct/>
        <w:topLinePunct w:val="0"/>
        <w:bidi w:val="0"/>
        <w:snapToGrid/>
        <w:spacing w:line="360" w:lineRule="auto"/>
        <w:ind w:firstLine="560" w:firstLineChars="200"/>
        <w:textAlignment w:val="auto"/>
        <w:rPr>
          <w:rFonts w:hint="eastAsia" w:ascii="宋体" w:hAnsi="宋体"/>
          <w:sz w:val="28"/>
          <w:szCs w:val="28"/>
        </w:rPr>
      </w:pPr>
      <w:r>
        <w:rPr>
          <w:rFonts w:hint="eastAsia" w:ascii="宋体" w:hAnsi="宋体"/>
          <w:sz w:val="28"/>
          <w:szCs w:val="28"/>
        </w:rPr>
        <w:t>学院网址：www.tjlivtc.edu.cn</w:t>
      </w:r>
    </w:p>
    <w:p>
      <w:pPr>
        <w:keepNext w:val="0"/>
        <w:keepLines w:val="0"/>
        <w:pageBreakBefore w:val="0"/>
        <w:kinsoku/>
        <w:wordWrap/>
        <w:overflowPunct/>
        <w:topLinePunct w:val="0"/>
        <w:autoSpaceDE/>
        <w:autoSpaceDN/>
        <w:bidi w:val="0"/>
        <w:adjustRightInd/>
        <w:spacing w:line="360" w:lineRule="auto"/>
        <w:textAlignment w:val="auto"/>
        <w:rPr>
          <w:rFonts w:ascii="宋体"/>
          <w:sz w:val="28"/>
          <w:szCs w:val="28"/>
        </w:rPr>
      </w:pPr>
      <w:bookmarkStart w:id="2" w:name="_GoBack"/>
      <w:bookmarkEnd w:id="2"/>
    </w:p>
    <w:p>
      <w:pPr>
        <w:keepNext w:val="0"/>
        <w:keepLines w:val="0"/>
        <w:pageBreakBefore w:val="0"/>
        <w:kinsoku/>
        <w:wordWrap/>
        <w:overflowPunct/>
        <w:topLinePunct w:val="0"/>
        <w:autoSpaceDE/>
        <w:autoSpaceDN/>
        <w:bidi w:val="0"/>
        <w:adjustRightInd/>
        <w:spacing w:line="360" w:lineRule="auto"/>
        <w:textAlignment w:val="auto"/>
        <w:rPr>
          <w:rFonts w:ascii="宋体"/>
          <w:sz w:val="28"/>
          <w:szCs w:val="28"/>
        </w:rPr>
      </w:pPr>
    </w:p>
    <w:p>
      <w:pPr>
        <w:keepNext w:val="0"/>
        <w:keepLines w:val="0"/>
        <w:pageBreakBefore w:val="0"/>
        <w:kinsoku/>
        <w:wordWrap/>
        <w:overflowPunct/>
        <w:topLinePunct w:val="0"/>
        <w:autoSpaceDE/>
        <w:autoSpaceDN/>
        <w:bidi w:val="0"/>
        <w:adjustRightInd/>
        <w:spacing w:line="360" w:lineRule="auto"/>
        <w:jc w:val="right"/>
        <w:textAlignment w:val="auto"/>
        <w:rPr>
          <w:rFonts w:ascii="宋体"/>
          <w:sz w:val="28"/>
          <w:szCs w:val="28"/>
        </w:rPr>
      </w:pPr>
      <w:r>
        <w:rPr>
          <w:rFonts w:hint="eastAsia" w:ascii="宋体" w:hAnsi="宋体"/>
          <w:sz w:val="28"/>
          <w:szCs w:val="28"/>
        </w:rPr>
        <w:t>天津轻工职业技术学院</w:t>
      </w:r>
    </w:p>
    <w:p>
      <w:pPr>
        <w:keepNext w:val="0"/>
        <w:keepLines w:val="0"/>
        <w:pageBreakBefore w:val="0"/>
        <w:kinsoku/>
        <w:wordWrap/>
        <w:overflowPunct/>
        <w:topLinePunct w:val="0"/>
        <w:autoSpaceDE/>
        <w:autoSpaceDN/>
        <w:bidi w:val="0"/>
        <w:adjustRightInd/>
        <w:spacing w:line="360" w:lineRule="auto"/>
        <w:ind w:right="140"/>
        <w:jc w:val="right"/>
        <w:textAlignment w:val="auto"/>
        <w:rPr>
          <w:rFonts w:hint="eastAsia" w:ascii="宋体" w:eastAsia="宋体"/>
          <w:sz w:val="28"/>
          <w:szCs w:val="28"/>
          <w:lang w:eastAsia="zh-CN"/>
        </w:rPr>
      </w:pPr>
      <w:r>
        <w:rPr>
          <w:rFonts w:hint="eastAsia" w:ascii="宋体" w:hAnsi="宋体"/>
          <w:sz w:val="28"/>
          <w:szCs w:val="28"/>
        </w:rPr>
        <w:t>招生就业指导</w:t>
      </w:r>
      <w:r>
        <w:rPr>
          <w:rFonts w:hint="eastAsia" w:ascii="宋体" w:hAnsi="宋体"/>
          <w:sz w:val="28"/>
          <w:szCs w:val="28"/>
          <w:lang w:eastAsia="zh-CN"/>
        </w:rPr>
        <w:t>办公室</w:t>
      </w:r>
    </w:p>
    <w:p>
      <w:pPr>
        <w:keepNext w:val="0"/>
        <w:keepLines w:val="0"/>
        <w:pageBreakBefore w:val="0"/>
        <w:kinsoku/>
        <w:wordWrap/>
        <w:overflowPunct/>
        <w:topLinePunct w:val="0"/>
        <w:autoSpaceDE/>
        <w:autoSpaceDN/>
        <w:bidi w:val="0"/>
        <w:adjustRightInd/>
        <w:spacing w:line="360" w:lineRule="auto"/>
        <w:ind w:right="420"/>
        <w:jc w:val="center"/>
        <w:textAlignment w:val="auto"/>
        <w:rPr>
          <w:rFonts w:ascii="宋体"/>
          <w:sz w:val="28"/>
          <w:szCs w:val="28"/>
        </w:rPr>
      </w:pPr>
      <w:r>
        <w:rPr>
          <w:rFonts w:hint="eastAsia" w:ascii="宋体" w:hAnsi="宋体"/>
          <w:sz w:val="28"/>
          <w:szCs w:val="28"/>
          <w:lang w:val="en-US" w:eastAsia="zh-CN"/>
        </w:rPr>
        <w:t xml:space="preserve">                                                 </w:t>
      </w:r>
      <w:r>
        <w:rPr>
          <w:rFonts w:ascii="宋体" w:hAnsi="宋体"/>
          <w:sz w:val="28"/>
          <w:szCs w:val="28"/>
        </w:rPr>
        <w:t>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3</w:t>
      </w:r>
      <w:r>
        <w:rPr>
          <w:rFonts w:hint="eastAsia" w:ascii="宋体" w:hAnsi="宋体"/>
          <w:sz w:val="28"/>
          <w:szCs w:val="28"/>
        </w:rPr>
        <w:t>月</w:t>
      </w:r>
    </w:p>
    <w:sectPr>
      <w:footerReference r:id="rId3" w:type="default"/>
      <w:footerReference r:id="rId4" w:type="even"/>
      <w:pgSz w:w="11907" w:h="16840"/>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7</w:t>
    </w:r>
    <w:r>
      <w:rPr>
        <w:rStyle w:val="12"/>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JmYzdjNTNlNTMwZDlmZWRhNGZkMGJmZGFkNTE4ZWQifQ=="/>
  </w:docVars>
  <w:rsids>
    <w:rsidRoot w:val="00B970FA"/>
    <w:rsid w:val="00004DD4"/>
    <w:rsid w:val="00006709"/>
    <w:rsid w:val="00022823"/>
    <w:rsid w:val="00027E9A"/>
    <w:rsid w:val="0003150D"/>
    <w:rsid w:val="0003370E"/>
    <w:rsid w:val="00034B65"/>
    <w:rsid w:val="000360B0"/>
    <w:rsid w:val="00040A83"/>
    <w:rsid w:val="00045A3B"/>
    <w:rsid w:val="000520A5"/>
    <w:rsid w:val="00060D63"/>
    <w:rsid w:val="0006207D"/>
    <w:rsid w:val="00062603"/>
    <w:rsid w:val="00065291"/>
    <w:rsid w:val="00074B50"/>
    <w:rsid w:val="000761DC"/>
    <w:rsid w:val="00077D57"/>
    <w:rsid w:val="00091BD9"/>
    <w:rsid w:val="0009488B"/>
    <w:rsid w:val="000A57CF"/>
    <w:rsid w:val="000A6AEA"/>
    <w:rsid w:val="000B4F80"/>
    <w:rsid w:val="000C5386"/>
    <w:rsid w:val="000C567B"/>
    <w:rsid w:val="000C5EAE"/>
    <w:rsid w:val="000C6418"/>
    <w:rsid w:val="000C696B"/>
    <w:rsid w:val="000D02A0"/>
    <w:rsid w:val="000F4B3A"/>
    <w:rsid w:val="00100715"/>
    <w:rsid w:val="00105CD8"/>
    <w:rsid w:val="00112CEF"/>
    <w:rsid w:val="00113992"/>
    <w:rsid w:val="00114F3D"/>
    <w:rsid w:val="0012669C"/>
    <w:rsid w:val="00126DBD"/>
    <w:rsid w:val="00130C02"/>
    <w:rsid w:val="00135B94"/>
    <w:rsid w:val="001538A9"/>
    <w:rsid w:val="001555EA"/>
    <w:rsid w:val="00155A48"/>
    <w:rsid w:val="00162E03"/>
    <w:rsid w:val="0016315B"/>
    <w:rsid w:val="0016518A"/>
    <w:rsid w:val="00167D34"/>
    <w:rsid w:val="00167E7B"/>
    <w:rsid w:val="00171C11"/>
    <w:rsid w:val="00182E35"/>
    <w:rsid w:val="00185369"/>
    <w:rsid w:val="00192D7B"/>
    <w:rsid w:val="001945EB"/>
    <w:rsid w:val="0019636A"/>
    <w:rsid w:val="001971AC"/>
    <w:rsid w:val="001A18A1"/>
    <w:rsid w:val="001A35DD"/>
    <w:rsid w:val="001A4521"/>
    <w:rsid w:val="001A6DF4"/>
    <w:rsid w:val="001B138D"/>
    <w:rsid w:val="001B526B"/>
    <w:rsid w:val="001C3D84"/>
    <w:rsid w:val="001C4A1F"/>
    <w:rsid w:val="001C7404"/>
    <w:rsid w:val="001D4CA5"/>
    <w:rsid w:val="001D7CA2"/>
    <w:rsid w:val="001E358A"/>
    <w:rsid w:val="001E3A21"/>
    <w:rsid w:val="001F3F01"/>
    <w:rsid w:val="001F58C0"/>
    <w:rsid w:val="002018F2"/>
    <w:rsid w:val="0020192A"/>
    <w:rsid w:val="00205919"/>
    <w:rsid w:val="0021254C"/>
    <w:rsid w:val="00213769"/>
    <w:rsid w:val="00213D99"/>
    <w:rsid w:val="00220F30"/>
    <w:rsid w:val="00223F13"/>
    <w:rsid w:val="0023297B"/>
    <w:rsid w:val="002331B1"/>
    <w:rsid w:val="00233776"/>
    <w:rsid w:val="00237E79"/>
    <w:rsid w:val="00244105"/>
    <w:rsid w:val="00252DA6"/>
    <w:rsid w:val="0025499A"/>
    <w:rsid w:val="00256241"/>
    <w:rsid w:val="00264D06"/>
    <w:rsid w:val="0026640F"/>
    <w:rsid w:val="00280BED"/>
    <w:rsid w:val="002816BD"/>
    <w:rsid w:val="00286D23"/>
    <w:rsid w:val="0029048B"/>
    <w:rsid w:val="00293BC9"/>
    <w:rsid w:val="00296935"/>
    <w:rsid w:val="002A406C"/>
    <w:rsid w:val="002B3169"/>
    <w:rsid w:val="002B7DB7"/>
    <w:rsid w:val="002C567D"/>
    <w:rsid w:val="002D6A11"/>
    <w:rsid w:val="002D7407"/>
    <w:rsid w:val="002E2B25"/>
    <w:rsid w:val="002E3F6F"/>
    <w:rsid w:val="002E5D47"/>
    <w:rsid w:val="002E667D"/>
    <w:rsid w:val="002E6DDE"/>
    <w:rsid w:val="002F06DF"/>
    <w:rsid w:val="002F2780"/>
    <w:rsid w:val="002F4E5C"/>
    <w:rsid w:val="002F5A0B"/>
    <w:rsid w:val="003009C7"/>
    <w:rsid w:val="0030177D"/>
    <w:rsid w:val="0030184A"/>
    <w:rsid w:val="00303DFC"/>
    <w:rsid w:val="00306E56"/>
    <w:rsid w:val="00310164"/>
    <w:rsid w:val="00310E10"/>
    <w:rsid w:val="00311AFA"/>
    <w:rsid w:val="00314485"/>
    <w:rsid w:val="00321CE7"/>
    <w:rsid w:val="00325A6E"/>
    <w:rsid w:val="00325FAF"/>
    <w:rsid w:val="003276A5"/>
    <w:rsid w:val="00332693"/>
    <w:rsid w:val="00343B59"/>
    <w:rsid w:val="00344487"/>
    <w:rsid w:val="0034526B"/>
    <w:rsid w:val="00355BA2"/>
    <w:rsid w:val="00360707"/>
    <w:rsid w:val="0036605F"/>
    <w:rsid w:val="00367F39"/>
    <w:rsid w:val="00373706"/>
    <w:rsid w:val="00380E4F"/>
    <w:rsid w:val="00384DEF"/>
    <w:rsid w:val="00390385"/>
    <w:rsid w:val="0039299B"/>
    <w:rsid w:val="00395B81"/>
    <w:rsid w:val="00395DB2"/>
    <w:rsid w:val="003A100F"/>
    <w:rsid w:val="003A1F39"/>
    <w:rsid w:val="003A6992"/>
    <w:rsid w:val="003B1EB3"/>
    <w:rsid w:val="003B453C"/>
    <w:rsid w:val="003B6952"/>
    <w:rsid w:val="003C2016"/>
    <w:rsid w:val="003C69E6"/>
    <w:rsid w:val="003D0FF1"/>
    <w:rsid w:val="003D3894"/>
    <w:rsid w:val="003E25EF"/>
    <w:rsid w:val="003E3A61"/>
    <w:rsid w:val="003E59A3"/>
    <w:rsid w:val="003E6A6A"/>
    <w:rsid w:val="004000F3"/>
    <w:rsid w:val="004018CF"/>
    <w:rsid w:val="00414833"/>
    <w:rsid w:val="00416AD9"/>
    <w:rsid w:val="004200AE"/>
    <w:rsid w:val="00421EA1"/>
    <w:rsid w:val="00426403"/>
    <w:rsid w:val="00430D07"/>
    <w:rsid w:val="00431DC1"/>
    <w:rsid w:val="004342A2"/>
    <w:rsid w:val="00436131"/>
    <w:rsid w:val="0044049E"/>
    <w:rsid w:val="00445000"/>
    <w:rsid w:val="00454334"/>
    <w:rsid w:val="004549B7"/>
    <w:rsid w:val="00454B2A"/>
    <w:rsid w:val="00455DB7"/>
    <w:rsid w:val="00456692"/>
    <w:rsid w:val="0046135D"/>
    <w:rsid w:val="004619EB"/>
    <w:rsid w:val="00464020"/>
    <w:rsid w:val="004679ED"/>
    <w:rsid w:val="00472311"/>
    <w:rsid w:val="004728C3"/>
    <w:rsid w:val="00472D70"/>
    <w:rsid w:val="00474160"/>
    <w:rsid w:val="00474220"/>
    <w:rsid w:val="00477258"/>
    <w:rsid w:val="004824F3"/>
    <w:rsid w:val="00485FAD"/>
    <w:rsid w:val="00493C2F"/>
    <w:rsid w:val="0049419C"/>
    <w:rsid w:val="004952FB"/>
    <w:rsid w:val="00495A6F"/>
    <w:rsid w:val="00495C3B"/>
    <w:rsid w:val="00496AE9"/>
    <w:rsid w:val="004A29D4"/>
    <w:rsid w:val="004A49D6"/>
    <w:rsid w:val="004B0DE2"/>
    <w:rsid w:val="004B6172"/>
    <w:rsid w:val="004C1D8E"/>
    <w:rsid w:val="004C5353"/>
    <w:rsid w:val="004D30DB"/>
    <w:rsid w:val="004E05B1"/>
    <w:rsid w:val="004E0D57"/>
    <w:rsid w:val="004E12C2"/>
    <w:rsid w:val="004E1814"/>
    <w:rsid w:val="004F4210"/>
    <w:rsid w:val="005012BA"/>
    <w:rsid w:val="0050169E"/>
    <w:rsid w:val="00506254"/>
    <w:rsid w:val="00520965"/>
    <w:rsid w:val="00524B7E"/>
    <w:rsid w:val="00531C6B"/>
    <w:rsid w:val="0053384B"/>
    <w:rsid w:val="005368E8"/>
    <w:rsid w:val="00543D4B"/>
    <w:rsid w:val="0055359D"/>
    <w:rsid w:val="00555225"/>
    <w:rsid w:val="00557595"/>
    <w:rsid w:val="00557ECA"/>
    <w:rsid w:val="00566D07"/>
    <w:rsid w:val="00574375"/>
    <w:rsid w:val="00576449"/>
    <w:rsid w:val="0058287C"/>
    <w:rsid w:val="00587055"/>
    <w:rsid w:val="005905EB"/>
    <w:rsid w:val="00590701"/>
    <w:rsid w:val="0059253F"/>
    <w:rsid w:val="00595DA3"/>
    <w:rsid w:val="005A4A38"/>
    <w:rsid w:val="005A678D"/>
    <w:rsid w:val="005B2D5C"/>
    <w:rsid w:val="005B44B3"/>
    <w:rsid w:val="005B5608"/>
    <w:rsid w:val="005B687F"/>
    <w:rsid w:val="005B6B8D"/>
    <w:rsid w:val="005C480B"/>
    <w:rsid w:val="005D0A40"/>
    <w:rsid w:val="005D2DC4"/>
    <w:rsid w:val="005D4E4A"/>
    <w:rsid w:val="005D5B7A"/>
    <w:rsid w:val="005D61CF"/>
    <w:rsid w:val="005E450A"/>
    <w:rsid w:val="005E6E2A"/>
    <w:rsid w:val="005F2428"/>
    <w:rsid w:val="00600882"/>
    <w:rsid w:val="00603381"/>
    <w:rsid w:val="00605F54"/>
    <w:rsid w:val="00607C47"/>
    <w:rsid w:val="00611051"/>
    <w:rsid w:val="00612E13"/>
    <w:rsid w:val="00615E13"/>
    <w:rsid w:val="00617B09"/>
    <w:rsid w:val="00626329"/>
    <w:rsid w:val="006324FC"/>
    <w:rsid w:val="00640480"/>
    <w:rsid w:val="00647F03"/>
    <w:rsid w:val="00651172"/>
    <w:rsid w:val="00656693"/>
    <w:rsid w:val="006571DD"/>
    <w:rsid w:val="00662B8A"/>
    <w:rsid w:val="00663EBA"/>
    <w:rsid w:val="0066563A"/>
    <w:rsid w:val="00665D1B"/>
    <w:rsid w:val="00670F99"/>
    <w:rsid w:val="006752A2"/>
    <w:rsid w:val="0068008C"/>
    <w:rsid w:val="006838EF"/>
    <w:rsid w:val="00685687"/>
    <w:rsid w:val="00685721"/>
    <w:rsid w:val="00693024"/>
    <w:rsid w:val="006973E7"/>
    <w:rsid w:val="006A1085"/>
    <w:rsid w:val="006A1461"/>
    <w:rsid w:val="006A489D"/>
    <w:rsid w:val="006B10C3"/>
    <w:rsid w:val="006B2B68"/>
    <w:rsid w:val="006B6C79"/>
    <w:rsid w:val="006B7ED6"/>
    <w:rsid w:val="006C207D"/>
    <w:rsid w:val="006D0316"/>
    <w:rsid w:val="006D57F9"/>
    <w:rsid w:val="006E4208"/>
    <w:rsid w:val="006E5B8A"/>
    <w:rsid w:val="006F362E"/>
    <w:rsid w:val="006F43EE"/>
    <w:rsid w:val="006F521B"/>
    <w:rsid w:val="006F75A7"/>
    <w:rsid w:val="00700C4B"/>
    <w:rsid w:val="007069C2"/>
    <w:rsid w:val="00710891"/>
    <w:rsid w:val="0071195F"/>
    <w:rsid w:val="00713133"/>
    <w:rsid w:val="00713348"/>
    <w:rsid w:val="007139AF"/>
    <w:rsid w:val="007156CE"/>
    <w:rsid w:val="0072017E"/>
    <w:rsid w:val="00721AC3"/>
    <w:rsid w:val="00726ED4"/>
    <w:rsid w:val="00731252"/>
    <w:rsid w:val="00731CE7"/>
    <w:rsid w:val="00734A55"/>
    <w:rsid w:val="00734EA2"/>
    <w:rsid w:val="00755B3C"/>
    <w:rsid w:val="0076116B"/>
    <w:rsid w:val="0076339A"/>
    <w:rsid w:val="00766F16"/>
    <w:rsid w:val="00767D81"/>
    <w:rsid w:val="00770313"/>
    <w:rsid w:val="00773746"/>
    <w:rsid w:val="00777A67"/>
    <w:rsid w:val="007810E3"/>
    <w:rsid w:val="00786484"/>
    <w:rsid w:val="00793545"/>
    <w:rsid w:val="007967FA"/>
    <w:rsid w:val="007A43E7"/>
    <w:rsid w:val="007A6F98"/>
    <w:rsid w:val="007A7C35"/>
    <w:rsid w:val="007B44B0"/>
    <w:rsid w:val="007B4CAE"/>
    <w:rsid w:val="007B5C2D"/>
    <w:rsid w:val="007C5A36"/>
    <w:rsid w:val="007C6975"/>
    <w:rsid w:val="007F37D6"/>
    <w:rsid w:val="007F432D"/>
    <w:rsid w:val="007F71E3"/>
    <w:rsid w:val="008027E8"/>
    <w:rsid w:val="00827499"/>
    <w:rsid w:val="00832021"/>
    <w:rsid w:val="00833A6F"/>
    <w:rsid w:val="00846BCA"/>
    <w:rsid w:val="00850567"/>
    <w:rsid w:val="00852A39"/>
    <w:rsid w:val="00855263"/>
    <w:rsid w:val="00855268"/>
    <w:rsid w:val="008578AA"/>
    <w:rsid w:val="00857D1F"/>
    <w:rsid w:val="00870D26"/>
    <w:rsid w:val="0087205D"/>
    <w:rsid w:val="0087432A"/>
    <w:rsid w:val="00876048"/>
    <w:rsid w:val="00876CEA"/>
    <w:rsid w:val="0088649B"/>
    <w:rsid w:val="00887158"/>
    <w:rsid w:val="008930FB"/>
    <w:rsid w:val="008A0510"/>
    <w:rsid w:val="008A204D"/>
    <w:rsid w:val="008A576A"/>
    <w:rsid w:val="008A59DD"/>
    <w:rsid w:val="008C43BE"/>
    <w:rsid w:val="008D1E84"/>
    <w:rsid w:val="008D24B9"/>
    <w:rsid w:val="008D387F"/>
    <w:rsid w:val="008D6FEE"/>
    <w:rsid w:val="008E0988"/>
    <w:rsid w:val="008E18E5"/>
    <w:rsid w:val="008E61F1"/>
    <w:rsid w:val="008F0775"/>
    <w:rsid w:val="008F76C7"/>
    <w:rsid w:val="00903946"/>
    <w:rsid w:val="00905C88"/>
    <w:rsid w:val="00906F0D"/>
    <w:rsid w:val="00912473"/>
    <w:rsid w:val="00914566"/>
    <w:rsid w:val="00916798"/>
    <w:rsid w:val="00916F6E"/>
    <w:rsid w:val="009174E7"/>
    <w:rsid w:val="00925493"/>
    <w:rsid w:val="00941276"/>
    <w:rsid w:val="0094149F"/>
    <w:rsid w:val="009431C8"/>
    <w:rsid w:val="00952195"/>
    <w:rsid w:val="00953FAD"/>
    <w:rsid w:val="00957E1A"/>
    <w:rsid w:val="00960ED5"/>
    <w:rsid w:val="00964DEC"/>
    <w:rsid w:val="00970504"/>
    <w:rsid w:val="00971934"/>
    <w:rsid w:val="00975028"/>
    <w:rsid w:val="00975B57"/>
    <w:rsid w:val="00975D4F"/>
    <w:rsid w:val="009814BE"/>
    <w:rsid w:val="00985A3A"/>
    <w:rsid w:val="00994E61"/>
    <w:rsid w:val="009A567E"/>
    <w:rsid w:val="009A5B88"/>
    <w:rsid w:val="009A6657"/>
    <w:rsid w:val="009B5ADA"/>
    <w:rsid w:val="009C0E7E"/>
    <w:rsid w:val="009C1A81"/>
    <w:rsid w:val="009C3768"/>
    <w:rsid w:val="009C4353"/>
    <w:rsid w:val="009C5876"/>
    <w:rsid w:val="009D5B0A"/>
    <w:rsid w:val="009E7ECE"/>
    <w:rsid w:val="009F41F3"/>
    <w:rsid w:val="009F4985"/>
    <w:rsid w:val="009F7723"/>
    <w:rsid w:val="00A03CED"/>
    <w:rsid w:val="00A06FF6"/>
    <w:rsid w:val="00A07D64"/>
    <w:rsid w:val="00A1130E"/>
    <w:rsid w:val="00A11FCB"/>
    <w:rsid w:val="00A133D4"/>
    <w:rsid w:val="00A2654B"/>
    <w:rsid w:val="00A273F8"/>
    <w:rsid w:val="00A276AC"/>
    <w:rsid w:val="00A31700"/>
    <w:rsid w:val="00A3300F"/>
    <w:rsid w:val="00A330CF"/>
    <w:rsid w:val="00A41A78"/>
    <w:rsid w:val="00A42131"/>
    <w:rsid w:val="00A427AD"/>
    <w:rsid w:val="00A50F07"/>
    <w:rsid w:val="00A54B08"/>
    <w:rsid w:val="00A54C18"/>
    <w:rsid w:val="00A57E17"/>
    <w:rsid w:val="00A86900"/>
    <w:rsid w:val="00A87622"/>
    <w:rsid w:val="00A927F8"/>
    <w:rsid w:val="00A92F3E"/>
    <w:rsid w:val="00AA4DCB"/>
    <w:rsid w:val="00AA5634"/>
    <w:rsid w:val="00AB043C"/>
    <w:rsid w:val="00AB1D5F"/>
    <w:rsid w:val="00AB254F"/>
    <w:rsid w:val="00AB32AE"/>
    <w:rsid w:val="00AC0071"/>
    <w:rsid w:val="00AC1694"/>
    <w:rsid w:val="00AC401F"/>
    <w:rsid w:val="00AC7EC1"/>
    <w:rsid w:val="00AD1579"/>
    <w:rsid w:val="00AD19E5"/>
    <w:rsid w:val="00AD2492"/>
    <w:rsid w:val="00AE691B"/>
    <w:rsid w:val="00AF2B39"/>
    <w:rsid w:val="00AF750D"/>
    <w:rsid w:val="00B021E0"/>
    <w:rsid w:val="00B110FA"/>
    <w:rsid w:val="00B1160D"/>
    <w:rsid w:val="00B15B5C"/>
    <w:rsid w:val="00B164D5"/>
    <w:rsid w:val="00B170D6"/>
    <w:rsid w:val="00B30662"/>
    <w:rsid w:val="00B315A3"/>
    <w:rsid w:val="00B32F4D"/>
    <w:rsid w:val="00B356B8"/>
    <w:rsid w:val="00B369B0"/>
    <w:rsid w:val="00B37297"/>
    <w:rsid w:val="00B37DF6"/>
    <w:rsid w:val="00B41FB0"/>
    <w:rsid w:val="00B44DA9"/>
    <w:rsid w:val="00B46578"/>
    <w:rsid w:val="00B472AA"/>
    <w:rsid w:val="00B577EC"/>
    <w:rsid w:val="00B612F4"/>
    <w:rsid w:val="00B67E0C"/>
    <w:rsid w:val="00B70B04"/>
    <w:rsid w:val="00B75938"/>
    <w:rsid w:val="00B75985"/>
    <w:rsid w:val="00B768D8"/>
    <w:rsid w:val="00B772EF"/>
    <w:rsid w:val="00B80B94"/>
    <w:rsid w:val="00B970FA"/>
    <w:rsid w:val="00BB5571"/>
    <w:rsid w:val="00BC1F03"/>
    <w:rsid w:val="00BC282B"/>
    <w:rsid w:val="00BD4672"/>
    <w:rsid w:val="00BD6DAF"/>
    <w:rsid w:val="00BE1471"/>
    <w:rsid w:val="00BE15D7"/>
    <w:rsid w:val="00BE2ABD"/>
    <w:rsid w:val="00BE4B51"/>
    <w:rsid w:val="00BE6796"/>
    <w:rsid w:val="00BF0D34"/>
    <w:rsid w:val="00BF2E8F"/>
    <w:rsid w:val="00BF43A6"/>
    <w:rsid w:val="00BF4720"/>
    <w:rsid w:val="00C029B8"/>
    <w:rsid w:val="00C06D1D"/>
    <w:rsid w:val="00C1154E"/>
    <w:rsid w:val="00C135E5"/>
    <w:rsid w:val="00C16EB8"/>
    <w:rsid w:val="00C21D7C"/>
    <w:rsid w:val="00C335A1"/>
    <w:rsid w:val="00C3658F"/>
    <w:rsid w:val="00C37BD4"/>
    <w:rsid w:val="00C5232C"/>
    <w:rsid w:val="00C53A9C"/>
    <w:rsid w:val="00C57A6D"/>
    <w:rsid w:val="00C63C34"/>
    <w:rsid w:val="00C73FBD"/>
    <w:rsid w:val="00C7488D"/>
    <w:rsid w:val="00C75676"/>
    <w:rsid w:val="00C82D24"/>
    <w:rsid w:val="00C8736E"/>
    <w:rsid w:val="00C908C6"/>
    <w:rsid w:val="00C90F9D"/>
    <w:rsid w:val="00C91ACB"/>
    <w:rsid w:val="00CA74CC"/>
    <w:rsid w:val="00CB0F29"/>
    <w:rsid w:val="00CB4F76"/>
    <w:rsid w:val="00CC1988"/>
    <w:rsid w:val="00CC2C4E"/>
    <w:rsid w:val="00CC4943"/>
    <w:rsid w:val="00CF0E97"/>
    <w:rsid w:val="00CF243E"/>
    <w:rsid w:val="00CF422E"/>
    <w:rsid w:val="00CF6CCF"/>
    <w:rsid w:val="00D03F70"/>
    <w:rsid w:val="00D0504C"/>
    <w:rsid w:val="00D0569E"/>
    <w:rsid w:val="00D0767C"/>
    <w:rsid w:val="00D078CC"/>
    <w:rsid w:val="00D125F4"/>
    <w:rsid w:val="00D166E6"/>
    <w:rsid w:val="00D24CFD"/>
    <w:rsid w:val="00D31633"/>
    <w:rsid w:val="00D3780F"/>
    <w:rsid w:val="00D37C3A"/>
    <w:rsid w:val="00D37F93"/>
    <w:rsid w:val="00D52508"/>
    <w:rsid w:val="00D5373F"/>
    <w:rsid w:val="00D55F3B"/>
    <w:rsid w:val="00D56D26"/>
    <w:rsid w:val="00D660C5"/>
    <w:rsid w:val="00D74312"/>
    <w:rsid w:val="00D74FF2"/>
    <w:rsid w:val="00D822C9"/>
    <w:rsid w:val="00D83442"/>
    <w:rsid w:val="00D866BA"/>
    <w:rsid w:val="00D8758D"/>
    <w:rsid w:val="00D951A8"/>
    <w:rsid w:val="00D956D1"/>
    <w:rsid w:val="00DA20B6"/>
    <w:rsid w:val="00DA2ABD"/>
    <w:rsid w:val="00DB069B"/>
    <w:rsid w:val="00DB1C6F"/>
    <w:rsid w:val="00DB652E"/>
    <w:rsid w:val="00DC03A4"/>
    <w:rsid w:val="00DC203C"/>
    <w:rsid w:val="00DC25C7"/>
    <w:rsid w:val="00DC6BDB"/>
    <w:rsid w:val="00DD66E1"/>
    <w:rsid w:val="00DF3E89"/>
    <w:rsid w:val="00DF535C"/>
    <w:rsid w:val="00E00CD0"/>
    <w:rsid w:val="00E04C49"/>
    <w:rsid w:val="00E10AEF"/>
    <w:rsid w:val="00E11E07"/>
    <w:rsid w:val="00E22A59"/>
    <w:rsid w:val="00E23A82"/>
    <w:rsid w:val="00E23B89"/>
    <w:rsid w:val="00E3573A"/>
    <w:rsid w:val="00E37E26"/>
    <w:rsid w:val="00E418A0"/>
    <w:rsid w:val="00E44E1A"/>
    <w:rsid w:val="00E474B2"/>
    <w:rsid w:val="00E5186E"/>
    <w:rsid w:val="00E55D5F"/>
    <w:rsid w:val="00E572EB"/>
    <w:rsid w:val="00E65450"/>
    <w:rsid w:val="00E65606"/>
    <w:rsid w:val="00E7180A"/>
    <w:rsid w:val="00E84D44"/>
    <w:rsid w:val="00E9103E"/>
    <w:rsid w:val="00E93512"/>
    <w:rsid w:val="00EA182C"/>
    <w:rsid w:val="00EA3BC6"/>
    <w:rsid w:val="00EA4FC4"/>
    <w:rsid w:val="00EB30C2"/>
    <w:rsid w:val="00EC1E2E"/>
    <w:rsid w:val="00EC3C6C"/>
    <w:rsid w:val="00EC7025"/>
    <w:rsid w:val="00EC7112"/>
    <w:rsid w:val="00ED1CE2"/>
    <w:rsid w:val="00ED24F9"/>
    <w:rsid w:val="00ED2933"/>
    <w:rsid w:val="00ED6A7F"/>
    <w:rsid w:val="00EE7A5B"/>
    <w:rsid w:val="00EF1DFC"/>
    <w:rsid w:val="00EF3285"/>
    <w:rsid w:val="00EF5259"/>
    <w:rsid w:val="00EF5961"/>
    <w:rsid w:val="00F11E13"/>
    <w:rsid w:val="00F138E2"/>
    <w:rsid w:val="00F13C32"/>
    <w:rsid w:val="00F13E4F"/>
    <w:rsid w:val="00F155D4"/>
    <w:rsid w:val="00F36814"/>
    <w:rsid w:val="00F446C9"/>
    <w:rsid w:val="00F47998"/>
    <w:rsid w:val="00F60CD6"/>
    <w:rsid w:val="00F61017"/>
    <w:rsid w:val="00F72198"/>
    <w:rsid w:val="00F7721A"/>
    <w:rsid w:val="00F80AEB"/>
    <w:rsid w:val="00F837D7"/>
    <w:rsid w:val="00F93BCD"/>
    <w:rsid w:val="00F9658C"/>
    <w:rsid w:val="00F9681A"/>
    <w:rsid w:val="00FA019C"/>
    <w:rsid w:val="00FA7958"/>
    <w:rsid w:val="00FB5E53"/>
    <w:rsid w:val="00FC0118"/>
    <w:rsid w:val="00FC40E2"/>
    <w:rsid w:val="00FC664F"/>
    <w:rsid w:val="00FD5C48"/>
    <w:rsid w:val="00FD6B81"/>
    <w:rsid w:val="00FD7846"/>
    <w:rsid w:val="00FE29F5"/>
    <w:rsid w:val="00FE45ED"/>
    <w:rsid w:val="00FE4628"/>
    <w:rsid w:val="00FE5ABC"/>
    <w:rsid w:val="00FF15F3"/>
    <w:rsid w:val="00FF2F5A"/>
    <w:rsid w:val="00FF66D6"/>
    <w:rsid w:val="0123584C"/>
    <w:rsid w:val="01D9776C"/>
    <w:rsid w:val="021358C1"/>
    <w:rsid w:val="033F6241"/>
    <w:rsid w:val="037B597B"/>
    <w:rsid w:val="03DD4743"/>
    <w:rsid w:val="051009EF"/>
    <w:rsid w:val="054123C0"/>
    <w:rsid w:val="069D39AB"/>
    <w:rsid w:val="06F832D7"/>
    <w:rsid w:val="076020AA"/>
    <w:rsid w:val="080A5070"/>
    <w:rsid w:val="08EF4AFC"/>
    <w:rsid w:val="0A2C751F"/>
    <w:rsid w:val="0B0F2A1E"/>
    <w:rsid w:val="0C2D0130"/>
    <w:rsid w:val="0C45374F"/>
    <w:rsid w:val="0CEE0C06"/>
    <w:rsid w:val="0DA73361"/>
    <w:rsid w:val="0DFE11D3"/>
    <w:rsid w:val="0E014A20"/>
    <w:rsid w:val="10E9492B"/>
    <w:rsid w:val="118616F9"/>
    <w:rsid w:val="11877410"/>
    <w:rsid w:val="11E960B5"/>
    <w:rsid w:val="12040D82"/>
    <w:rsid w:val="120F683F"/>
    <w:rsid w:val="12150014"/>
    <w:rsid w:val="12A5124D"/>
    <w:rsid w:val="15051099"/>
    <w:rsid w:val="156E7814"/>
    <w:rsid w:val="157E65AB"/>
    <w:rsid w:val="162842C2"/>
    <w:rsid w:val="1679465B"/>
    <w:rsid w:val="16BE25C4"/>
    <w:rsid w:val="184A07A7"/>
    <w:rsid w:val="18EC3795"/>
    <w:rsid w:val="19E00326"/>
    <w:rsid w:val="1A293346"/>
    <w:rsid w:val="1A973C23"/>
    <w:rsid w:val="1AA71539"/>
    <w:rsid w:val="1CD35F20"/>
    <w:rsid w:val="1D2E6FF1"/>
    <w:rsid w:val="1EC51FA9"/>
    <w:rsid w:val="1F9F20EA"/>
    <w:rsid w:val="1FEC3A03"/>
    <w:rsid w:val="200742A6"/>
    <w:rsid w:val="2112296A"/>
    <w:rsid w:val="21674E89"/>
    <w:rsid w:val="21925261"/>
    <w:rsid w:val="23241235"/>
    <w:rsid w:val="237A0EA4"/>
    <w:rsid w:val="23BD6FE3"/>
    <w:rsid w:val="24335A7F"/>
    <w:rsid w:val="24612217"/>
    <w:rsid w:val="24AF7C15"/>
    <w:rsid w:val="24FA7403"/>
    <w:rsid w:val="24FE78B3"/>
    <w:rsid w:val="25453733"/>
    <w:rsid w:val="25E971BF"/>
    <w:rsid w:val="26243349"/>
    <w:rsid w:val="26F520B9"/>
    <w:rsid w:val="26FA63D3"/>
    <w:rsid w:val="272730F1"/>
    <w:rsid w:val="27766AB0"/>
    <w:rsid w:val="27B55939"/>
    <w:rsid w:val="285223EF"/>
    <w:rsid w:val="288040C8"/>
    <w:rsid w:val="293B3CB2"/>
    <w:rsid w:val="2B4D50F0"/>
    <w:rsid w:val="2BAF7B59"/>
    <w:rsid w:val="2C78619D"/>
    <w:rsid w:val="2CB03B88"/>
    <w:rsid w:val="2DCA0C7A"/>
    <w:rsid w:val="2DCA759C"/>
    <w:rsid w:val="2E2E4C73"/>
    <w:rsid w:val="2E9A4AF0"/>
    <w:rsid w:val="2ED0406E"/>
    <w:rsid w:val="2EEA298A"/>
    <w:rsid w:val="2F5A7DDB"/>
    <w:rsid w:val="2FEC1582"/>
    <w:rsid w:val="305D40AB"/>
    <w:rsid w:val="307210DE"/>
    <w:rsid w:val="31992E3D"/>
    <w:rsid w:val="31ED3189"/>
    <w:rsid w:val="340A7921"/>
    <w:rsid w:val="34931812"/>
    <w:rsid w:val="34931DC5"/>
    <w:rsid w:val="34C11D38"/>
    <w:rsid w:val="35EB4258"/>
    <w:rsid w:val="36A10D6C"/>
    <w:rsid w:val="375436D4"/>
    <w:rsid w:val="37A61E10"/>
    <w:rsid w:val="38E30B05"/>
    <w:rsid w:val="39153D4D"/>
    <w:rsid w:val="394E76F8"/>
    <w:rsid w:val="396401D4"/>
    <w:rsid w:val="3A5B1D24"/>
    <w:rsid w:val="3B451EB3"/>
    <w:rsid w:val="3B4958D4"/>
    <w:rsid w:val="3BD056AD"/>
    <w:rsid w:val="3DDF6234"/>
    <w:rsid w:val="3E0004F5"/>
    <w:rsid w:val="3EAD3FF2"/>
    <w:rsid w:val="3ED96F6F"/>
    <w:rsid w:val="3F2C4CC8"/>
    <w:rsid w:val="3F79434E"/>
    <w:rsid w:val="3FD057F7"/>
    <w:rsid w:val="400D4810"/>
    <w:rsid w:val="41760AA5"/>
    <w:rsid w:val="42277FF1"/>
    <w:rsid w:val="424402BA"/>
    <w:rsid w:val="431E24E8"/>
    <w:rsid w:val="434E3D93"/>
    <w:rsid w:val="43F860E9"/>
    <w:rsid w:val="441B74E4"/>
    <w:rsid w:val="44E40CBC"/>
    <w:rsid w:val="45CB6B66"/>
    <w:rsid w:val="46760EFE"/>
    <w:rsid w:val="46772BA7"/>
    <w:rsid w:val="46AE701E"/>
    <w:rsid w:val="474935A7"/>
    <w:rsid w:val="4755115C"/>
    <w:rsid w:val="47AC3472"/>
    <w:rsid w:val="498A2208"/>
    <w:rsid w:val="49FF5B54"/>
    <w:rsid w:val="4A4C6847"/>
    <w:rsid w:val="4A7F1081"/>
    <w:rsid w:val="4AC9149F"/>
    <w:rsid w:val="4AF55130"/>
    <w:rsid w:val="4BB65770"/>
    <w:rsid w:val="4BCF3BD3"/>
    <w:rsid w:val="4E1F5FA3"/>
    <w:rsid w:val="4EB54488"/>
    <w:rsid w:val="4F471CD3"/>
    <w:rsid w:val="4F9D7C62"/>
    <w:rsid w:val="50563E5D"/>
    <w:rsid w:val="50665C75"/>
    <w:rsid w:val="51BB2504"/>
    <w:rsid w:val="52DA577E"/>
    <w:rsid w:val="54071B43"/>
    <w:rsid w:val="55046DF7"/>
    <w:rsid w:val="551A2AA0"/>
    <w:rsid w:val="558B221B"/>
    <w:rsid w:val="55AF1B1C"/>
    <w:rsid w:val="56A5017F"/>
    <w:rsid w:val="56BC1D60"/>
    <w:rsid w:val="571056AE"/>
    <w:rsid w:val="576A0FE7"/>
    <w:rsid w:val="57DA5B0A"/>
    <w:rsid w:val="59301A29"/>
    <w:rsid w:val="5A9D4E9D"/>
    <w:rsid w:val="5AC22D20"/>
    <w:rsid w:val="5B247EEE"/>
    <w:rsid w:val="5B863B83"/>
    <w:rsid w:val="5C0E3A15"/>
    <w:rsid w:val="5C5F065B"/>
    <w:rsid w:val="5E9B7945"/>
    <w:rsid w:val="61804FF3"/>
    <w:rsid w:val="618F4CA3"/>
    <w:rsid w:val="63555DC7"/>
    <w:rsid w:val="637341FF"/>
    <w:rsid w:val="64185015"/>
    <w:rsid w:val="65093693"/>
    <w:rsid w:val="651E3812"/>
    <w:rsid w:val="659C4D6E"/>
    <w:rsid w:val="66534DEC"/>
    <w:rsid w:val="66AD383B"/>
    <w:rsid w:val="66D41C46"/>
    <w:rsid w:val="67E22987"/>
    <w:rsid w:val="6906701D"/>
    <w:rsid w:val="699C0018"/>
    <w:rsid w:val="69D02B99"/>
    <w:rsid w:val="6A4B4337"/>
    <w:rsid w:val="6DD35943"/>
    <w:rsid w:val="6EA77C40"/>
    <w:rsid w:val="6F173E64"/>
    <w:rsid w:val="6FC22F83"/>
    <w:rsid w:val="70935415"/>
    <w:rsid w:val="70B212A9"/>
    <w:rsid w:val="70BF683C"/>
    <w:rsid w:val="70F2429C"/>
    <w:rsid w:val="71A87217"/>
    <w:rsid w:val="71CF703A"/>
    <w:rsid w:val="741F0407"/>
    <w:rsid w:val="746C1061"/>
    <w:rsid w:val="75A31161"/>
    <w:rsid w:val="75F70F08"/>
    <w:rsid w:val="760D7758"/>
    <w:rsid w:val="76BB16B6"/>
    <w:rsid w:val="771F2A69"/>
    <w:rsid w:val="785647FB"/>
    <w:rsid w:val="792C5B75"/>
    <w:rsid w:val="79946249"/>
    <w:rsid w:val="7ADE2C3C"/>
    <w:rsid w:val="7B14352C"/>
    <w:rsid w:val="7B217501"/>
    <w:rsid w:val="7BE95D3C"/>
    <w:rsid w:val="7BF30969"/>
    <w:rsid w:val="7C562FD2"/>
    <w:rsid w:val="7C646922"/>
    <w:rsid w:val="7CAC0188"/>
    <w:rsid w:val="7D0746CC"/>
    <w:rsid w:val="7D3923AB"/>
    <w:rsid w:val="7D7F0706"/>
    <w:rsid w:val="7DD50326"/>
    <w:rsid w:val="7DE205FA"/>
    <w:rsid w:val="7F5D43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uiPriority="59"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autoRedefine/>
    <w:qFormat/>
    <w:uiPriority w:val="99"/>
    <w:pPr>
      <w:keepNext/>
      <w:keepLines/>
      <w:spacing w:before="340" w:after="330" w:line="578" w:lineRule="auto"/>
      <w:outlineLvl w:val="0"/>
    </w:pPr>
    <w:rPr>
      <w:b/>
      <w:bCs/>
      <w:kern w:val="44"/>
      <w:sz w:val="44"/>
      <w:szCs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20"/>
    <w:autoRedefine/>
    <w:qFormat/>
    <w:uiPriority w:val="99"/>
    <w:pPr>
      <w:tabs>
        <w:tab w:val="center" w:pos="4153"/>
        <w:tab w:val="right" w:pos="8306"/>
      </w:tabs>
      <w:snapToGrid w:val="0"/>
      <w:jc w:val="left"/>
    </w:pPr>
    <w:rPr>
      <w:sz w:val="18"/>
      <w:szCs w:val="18"/>
    </w:rPr>
  </w:style>
  <w:style w:type="paragraph" w:styleId="4">
    <w:name w:val="annotation text"/>
    <w:basedOn w:val="1"/>
    <w:link w:val="17"/>
    <w:autoRedefine/>
    <w:qFormat/>
    <w:uiPriority w:val="99"/>
    <w:pPr>
      <w:jc w:val="left"/>
    </w:pPr>
  </w:style>
  <w:style w:type="paragraph" w:styleId="5">
    <w:name w:val="Date"/>
    <w:basedOn w:val="1"/>
    <w:next w:val="1"/>
    <w:link w:val="18"/>
    <w:autoRedefine/>
    <w:qFormat/>
    <w:uiPriority w:val="99"/>
    <w:pPr>
      <w:ind w:left="100" w:leftChars="2500"/>
    </w:pPr>
  </w:style>
  <w:style w:type="paragraph" w:styleId="6">
    <w:name w:val="Balloon Text"/>
    <w:basedOn w:val="1"/>
    <w:link w:val="19"/>
    <w:autoRedefine/>
    <w:semiHidden/>
    <w:qFormat/>
    <w:uiPriority w:val="99"/>
    <w:rPr>
      <w:sz w:val="18"/>
      <w:szCs w:val="18"/>
    </w:rPr>
  </w:style>
  <w:style w:type="paragraph" w:styleId="7">
    <w:name w:val="header"/>
    <w:basedOn w:val="1"/>
    <w:link w:val="21"/>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jc w:val="left"/>
    </w:pPr>
    <w:rPr>
      <w:rFonts w:ascii="宋体" w:hAnsi="宋体" w:cs="宋体"/>
      <w:kern w:val="0"/>
      <w:sz w:val="24"/>
    </w:rPr>
  </w:style>
  <w:style w:type="paragraph" w:styleId="9">
    <w:name w:val="annotation subject"/>
    <w:basedOn w:val="4"/>
    <w:next w:val="4"/>
    <w:link w:val="22"/>
    <w:autoRedefine/>
    <w:qFormat/>
    <w:uiPriority w:val="99"/>
    <w:rPr>
      <w:b/>
      <w:bCs/>
    </w:rPr>
  </w:style>
  <w:style w:type="character" w:styleId="12">
    <w:name w:val="page number"/>
    <w:basedOn w:val="11"/>
    <w:autoRedefine/>
    <w:qFormat/>
    <w:uiPriority w:val="99"/>
    <w:rPr>
      <w:rFonts w:cs="Times New Roman"/>
    </w:rPr>
  </w:style>
  <w:style w:type="character" w:styleId="13">
    <w:name w:val="FollowedHyperlink"/>
    <w:basedOn w:val="11"/>
    <w:autoRedefine/>
    <w:qFormat/>
    <w:uiPriority w:val="99"/>
    <w:rPr>
      <w:rFonts w:cs="Times New Roman"/>
      <w:color w:val="800080"/>
      <w:u w:val="single"/>
    </w:rPr>
  </w:style>
  <w:style w:type="character" w:styleId="14">
    <w:name w:val="Hyperlink"/>
    <w:basedOn w:val="11"/>
    <w:autoRedefine/>
    <w:qFormat/>
    <w:uiPriority w:val="99"/>
    <w:rPr>
      <w:rFonts w:cs="Times New Roman"/>
      <w:color w:val="0000FF"/>
      <w:u w:val="single"/>
    </w:rPr>
  </w:style>
  <w:style w:type="character" w:styleId="15">
    <w:name w:val="annotation reference"/>
    <w:basedOn w:val="11"/>
    <w:autoRedefine/>
    <w:qFormat/>
    <w:uiPriority w:val="99"/>
    <w:rPr>
      <w:rFonts w:cs="Times New Roman"/>
      <w:sz w:val="21"/>
      <w:szCs w:val="21"/>
    </w:rPr>
  </w:style>
  <w:style w:type="character" w:customStyle="1" w:styleId="16">
    <w:name w:val="标题 1 Char"/>
    <w:basedOn w:val="11"/>
    <w:link w:val="3"/>
    <w:autoRedefine/>
    <w:qFormat/>
    <w:uiPriority w:val="9"/>
    <w:rPr>
      <w:b/>
      <w:bCs/>
      <w:kern w:val="44"/>
      <w:sz w:val="44"/>
      <w:szCs w:val="44"/>
    </w:rPr>
  </w:style>
  <w:style w:type="character" w:customStyle="1" w:styleId="17">
    <w:name w:val="批注文字 Char"/>
    <w:basedOn w:val="11"/>
    <w:link w:val="4"/>
    <w:autoRedefine/>
    <w:qFormat/>
    <w:locked/>
    <w:uiPriority w:val="99"/>
    <w:rPr>
      <w:rFonts w:cs="Times New Roman"/>
      <w:kern w:val="2"/>
      <w:sz w:val="24"/>
      <w:szCs w:val="24"/>
    </w:rPr>
  </w:style>
  <w:style w:type="character" w:customStyle="1" w:styleId="18">
    <w:name w:val="日期 Char"/>
    <w:basedOn w:val="11"/>
    <w:link w:val="5"/>
    <w:autoRedefine/>
    <w:qFormat/>
    <w:locked/>
    <w:uiPriority w:val="99"/>
    <w:rPr>
      <w:rFonts w:cs="Times New Roman"/>
      <w:kern w:val="2"/>
      <w:sz w:val="24"/>
      <w:szCs w:val="24"/>
    </w:rPr>
  </w:style>
  <w:style w:type="character" w:customStyle="1" w:styleId="19">
    <w:name w:val="批注框文本 Char"/>
    <w:basedOn w:val="11"/>
    <w:link w:val="6"/>
    <w:autoRedefine/>
    <w:semiHidden/>
    <w:qFormat/>
    <w:uiPriority w:val="99"/>
    <w:rPr>
      <w:sz w:val="0"/>
      <w:szCs w:val="0"/>
    </w:rPr>
  </w:style>
  <w:style w:type="character" w:customStyle="1" w:styleId="20">
    <w:name w:val="页脚 Char"/>
    <w:basedOn w:val="11"/>
    <w:link w:val="2"/>
    <w:autoRedefine/>
    <w:semiHidden/>
    <w:qFormat/>
    <w:uiPriority w:val="99"/>
    <w:rPr>
      <w:sz w:val="18"/>
      <w:szCs w:val="18"/>
    </w:rPr>
  </w:style>
  <w:style w:type="character" w:customStyle="1" w:styleId="21">
    <w:name w:val="页眉 Char"/>
    <w:basedOn w:val="11"/>
    <w:link w:val="7"/>
    <w:autoRedefine/>
    <w:semiHidden/>
    <w:qFormat/>
    <w:uiPriority w:val="99"/>
    <w:rPr>
      <w:sz w:val="18"/>
      <w:szCs w:val="18"/>
    </w:rPr>
  </w:style>
  <w:style w:type="character" w:customStyle="1" w:styleId="22">
    <w:name w:val="批注主题 Char"/>
    <w:basedOn w:val="17"/>
    <w:link w:val="9"/>
    <w:autoRedefine/>
    <w:qFormat/>
    <w:locked/>
    <w:uiPriority w:val="99"/>
    <w:rPr>
      <w:rFonts w:cs="Times New Roman"/>
      <w:b/>
      <w:bCs/>
      <w:kern w:val="2"/>
      <w:sz w:val="24"/>
      <w:szCs w:val="24"/>
    </w:rPr>
  </w:style>
  <w:style w:type="character" w:customStyle="1" w:styleId="23">
    <w:name w:val="value text-cursor"/>
    <w:basedOn w:val="11"/>
    <w:autoRedefine/>
    <w:qFormat/>
    <w:uiPriority w:val="99"/>
    <w:rPr>
      <w:rFonts w:cs="Times New Roman"/>
    </w:rPr>
  </w:style>
  <w:style w:type="character" w:customStyle="1" w:styleId="24">
    <w:name w:val="apple-style-span"/>
    <w:basedOn w:val="11"/>
    <w:autoRedefine/>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3830</Words>
  <Characters>3944</Characters>
  <Lines>27</Lines>
  <Paragraphs>7</Paragraphs>
  <TotalTime>0</TotalTime>
  <ScaleCrop>false</ScaleCrop>
  <LinksUpToDate>false</LinksUpToDate>
  <CharactersWithSpaces>4159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2020-01-17T02:15:00Z</dcterms:created>
  <dc:creator>招办</dc:creator>
  <cp:lastModifiedBy>Administrator</cp:lastModifiedBy>
  <cp:lastPrinted>2013-01-22T01:30:00Z</cp:lastPrinted>
  <dcterms:modified xsi:type="dcterms:W3CDTF">2024-04-08T02:03:51Z</dcterms:modified>
  <dc:title>天津轻工职业技术学院招生章程</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B74B781D86784DC5BAB8EA904B7D7631</vt:lpwstr>
  </property>
</Properties>
</file>